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078D8" w14:textId="65D73342" w:rsidR="00066C84" w:rsidRDefault="00066C84" w:rsidP="00066C84">
      <w:pPr>
        <w:pStyle w:val="Header"/>
        <w:ind w:firstLine="0"/>
        <w:jc w:val="left"/>
      </w:pPr>
      <w:r>
        <w:t xml:space="preserve">Patrick Cicero, </w:t>
      </w:r>
      <w:r w:rsidR="00945AA5">
        <w:t>Esquire</w:t>
      </w:r>
    </w:p>
    <w:p w14:paraId="0838F553" w14:textId="77777777" w:rsidR="00066C84" w:rsidRDefault="00066C84" w:rsidP="00066C84">
      <w:pPr>
        <w:pStyle w:val="Header"/>
        <w:ind w:firstLine="0"/>
        <w:jc w:val="left"/>
      </w:pPr>
      <w:r>
        <w:t>Pennsylvania Office of Consumer Advocate (OCA)</w:t>
      </w:r>
    </w:p>
    <w:p w14:paraId="0C283890" w14:textId="77777777" w:rsidR="00066C84" w:rsidRDefault="00066C84" w:rsidP="00066C84">
      <w:pPr>
        <w:pStyle w:val="Header"/>
        <w:ind w:firstLine="0"/>
        <w:jc w:val="left"/>
      </w:pPr>
      <w:r>
        <w:t>555 Walnut Street, 5</w:t>
      </w:r>
      <w:r w:rsidRPr="005E212E">
        <w:rPr>
          <w:vertAlign w:val="superscript"/>
        </w:rPr>
        <w:t>th</w:t>
      </w:r>
      <w:r>
        <w:t xml:space="preserve"> Floor</w:t>
      </w:r>
    </w:p>
    <w:p w14:paraId="7E0EA3C2" w14:textId="77777777" w:rsidR="00066C84" w:rsidRDefault="00066C84" w:rsidP="00066C84">
      <w:pPr>
        <w:pStyle w:val="Header"/>
        <w:ind w:firstLine="0"/>
        <w:jc w:val="left"/>
      </w:pPr>
      <w:r>
        <w:t>Harrisburg, PA 17101</w:t>
      </w:r>
    </w:p>
    <w:p w14:paraId="7D3E5955" w14:textId="77777777" w:rsidR="00BA1724" w:rsidRDefault="00BA1724" w:rsidP="00066C84">
      <w:pPr>
        <w:pStyle w:val="Header"/>
        <w:ind w:firstLine="0"/>
        <w:jc w:val="left"/>
      </w:pPr>
    </w:p>
    <w:p w14:paraId="0B2615AF" w14:textId="0547835E" w:rsidR="00BA1724" w:rsidRDefault="00945AA5" w:rsidP="00066C84">
      <w:pPr>
        <w:pStyle w:val="Header"/>
        <w:ind w:firstLine="0"/>
        <w:jc w:val="left"/>
      </w:pPr>
      <w:r>
        <w:t>CC: Darryl Lawrence, Christy Appleby</w:t>
      </w:r>
      <w:r w:rsidR="00470135">
        <w:t xml:space="preserve">, </w:t>
      </w:r>
      <w:r w:rsidR="00110853">
        <w:t>Joseph Graham</w:t>
      </w:r>
      <w:r w:rsidR="00930B31">
        <w:t>, Bureau of Consumer Protection/PA Office of AG</w:t>
      </w:r>
    </w:p>
    <w:p w14:paraId="32DBCD1C" w14:textId="77777777" w:rsidR="00066C84" w:rsidRDefault="00066C84" w:rsidP="00066C84">
      <w:pPr>
        <w:pStyle w:val="Header"/>
        <w:ind w:firstLine="0"/>
        <w:jc w:val="left"/>
      </w:pPr>
    </w:p>
    <w:p w14:paraId="1B9E07AF" w14:textId="5547F35A" w:rsidR="00066C84" w:rsidRDefault="00066C84" w:rsidP="00066C84">
      <w:pPr>
        <w:pStyle w:val="Header"/>
        <w:ind w:firstLine="0"/>
        <w:jc w:val="left"/>
      </w:pPr>
      <w:r>
        <w:t>May 13, 2024</w:t>
      </w:r>
    </w:p>
    <w:p w14:paraId="033F5C2A" w14:textId="77777777" w:rsidR="00066C84" w:rsidRDefault="00066C84" w:rsidP="00066C84">
      <w:pPr>
        <w:pStyle w:val="Header"/>
        <w:ind w:firstLine="0"/>
        <w:jc w:val="left"/>
      </w:pPr>
    </w:p>
    <w:p w14:paraId="31BC5CEA" w14:textId="71422805" w:rsidR="00C319AE" w:rsidRDefault="00B06CB4">
      <w:r>
        <w:t>Dear Mr. Cicero</w:t>
      </w:r>
      <w:r w:rsidR="00945AA5">
        <w:t>,</w:t>
      </w:r>
    </w:p>
    <w:p w14:paraId="72DF4466" w14:textId="77777777" w:rsidR="00B06CB4" w:rsidRDefault="00B06CB4"/>
    <w:p w14:paraId="11F1E137" w14:textId="25737FAC" w:rsidR="00066C84" w:rsidRDefault="00B06CB4">
      <w:r>
        <w:t xml:space="preserve">We are </w:t>
      </w:r>
      <w:r w:rsidR="00386AD0">
        <w:t>38</w:t>
      </w:r>
      <w:r>
        <w:t xml:space="preserve"> PA utility customers who have sought a smart meter opt-out with our respective PA utility and, in many cases, with the PA PUC.  You are aware that PA is the only state in the U.S. where the PUC is enforcing a smart meter mandate.  They’ve don</w:t>
      </w:r>
      <w:r w:rsidR="006F15AE">
        <w:t>e</w:t>
      </w:r>
      <w:r>
        <w:t xml:space="preserve"> this for over a decade now</w:t>
      </w:r>
      <w:r w:rsidR="006F15AE">
        <w:t>, as the OCA has failed to represent us in this matter, whereas other states</w:t>
      </w:r>
      <w:r w:rsidR="00945AA5">
        <w:t>’</w:t>
      </w:r>
      <w:r w:rsidR="006F15AE">
        <w:t xml:space="preserve"> respective OCA institutions have assisted their utility customers</w:t>
      </w:r>
      <w:r w:rsidR="00945AA5">
        <w:t xml:space="preserve"> to </w:t>
      </w:r>
      <w:r w:rsidR="00A64FB8">
        <w:t>obtain an analog or non-transmitting/non-receiving meter opt-out.</w:t>
      </w:r>
    </w:p>
    <w:p w14:paraId="155E7953" w14:textId="77777777" w:rsidR="00CC2C58" w:rsidRDefault="00CC2C58"/>
    <w:p w14:paraId="185B1B19" w14:textId="34D083E4" w:rsidR="00066C84" w:rsidRDefault="006F15AE" w:rsidP="00A64FB8">
      <w:r>
        <w:t xml:space="preserve">Thus, </w:t>
      </w:r>
      <w:r w:rsidRPr="00CC2C58">
        <w:rPr>
          <w:b/>
          <w:bCs/>
        </w:rPr>
        <w:t>we respectfully request that you assist</w:t>
      </w:r>
      <w:r w:rsidR="00A64FB8" w:rsidRPr="00CC2C58">
        <w:rPr>
          <w:b/>
          <w:bCs/>
        </w:rPr>
        <w:t xml:space="preserve"> us with obtaining </w:t>
      </w:r>
      <w:r w:rsidR="006821F9">
        <w:rPr>
          <w:b/>
          <w:bCs/>
        </w:rPr>
        <w:t>an</w:t>
      </w:r>
      <w:r w:rsidR="00A64FB8" w:rsidRPr="00CC2C58">
        <w:rPr>
          <w:b/>
          <w:bCs/>
        </w:rPr>
        <w:t xml:space="preserve"> analog or non-transmitting/non-receiving meter opt-out</w:t>
      </w:r>
      <w:r w:rsidR="006821F9">
        <w:t xml:space="preserve"> and, </w:t>
      </w:r>
      <w:r w:rsidR="00A64FB8">
        <w:t xml:space="preserve">to this effect, attend the </w:t>
      </w:r>
      <w:r w:rsidR="00E13E94">
        <w:t xml:space="preserve">applicable </w:t>
      </w:r>
      <w:hyperlink r:id="rId8" w:history="1">
        <w:r w:rsidR="00A64FB8" w:rsidRPr="001668D1">
          <w:rPr>
            <w:rStyle w:val="Hyperlink"/>
          </w:rPr>
          <w:t>May 22</w:t>
        </w:r>
        <w:r w:rsidR="00A64FB8" w:rsidRPr="001668D1">
          <w:rPr>
            <w:rStyle w:val="Hyperlink"/>
            <w:vertAlign w:val="superscript"/>
          </w:rPr>
          <w:t>nd</w:t>
        </w:r>
        <w:r w:rsidR="00A64FB8" w:rsidRPr="001668D1">
          <w:rPr>
            <w:rStyle w:val="Hyperlink"/>
          </w:rPr>
          <w:t xml:space="preserve"> PUC Hearing</w:t>
        </w:r>
      </w:hyperlink>
      <w:r w:rsidR="00507092">
        <w:t xml:space="preserve"> vs. PECO.  PECO customers have funded </w:t>
      </w:r>
      <w:r w:rsidR="005E212E">
        <w:t xml:space="preserve">approximately </w:t>
      </w:r>
      <w:r w:rsidR="00507092">
        <w:t xml:space="preserve">$450 million of the </w:t>
      </w:r>
      <w:hyperlink r:id="rId9" w:history="1">
        <w:r w:rsidR="00507092" w:rsidRPr="005E212E">
          <w:rPr>
            <w:rStyle w:val="Hyperlink"/>
          </w:rPr>
          <w:t>$650 million</w:t>
        </w:r>
        <w:r w:rsidR="005E212E" w:rsidRPr="005E212E">
          <w:rPr>
            <w:rStyle w:val="Hyperlink"/>
          </w:rPr>
          <w:t xml:space="preserve"> for PECO’s advanced metering infrastructure (AMI)</w:t>
        </w:r>
      </w:hyperlink>
      <w:r w:rsidR="00507092">
        <w:t>, with the remainder</w:t>
      </w:r>
      <w:r w:rsidR="00CC2C58">
        <w:t xml:space="preserve"> </w:t>
      </w:r>
      <w:r w:rsidR="00507092">
        <w:t xml:space="preserve">contributed by </w:t>
      </w:r>
      <w:r w:rsidR="00CC2C58">
        <w:t>the</w:t>
      </w:r>
      <w:r w:rsidR="00507092">
        <w:t xml:space="preserve"> Department of Energy’s $200 million grant, so we deserve the right to an opt-out like most states mandate, and where they do not many utilities provide this as </w:t>
      </w:r>
      <w:r w:rsidR="005E212E">
        <w:t>a</w:t>
      </w:r>
      <w:r w:rsidR="00507092">
        <w:t xml:space="preserve"> practice in corporate stewardship</w:t>
      </w:r>
      <w:r w:rsidR="00CC2C58">
        <w:t xml:space="preserve"> (except in exclusionary PA).</w:t>
      </w:r>
      <w:r w:rsidR="00507092">
        <w:t xml:space="preserve">  </w:t>
      </w:r>
    </w:p>
    <w:p w14:paraId="7BC6EC7C" w14:textId="77777777" w:rsidR="00CC2C58" w:rsidRDefault="00CC2C58" w:rsidP="00A64FB8"/>
    <w:p w14:paraId="457D58CC" w14:textId="39599D9F" w:rsidR="009509B9" w:rsidRDefault="00A64FB8" w:rsidP="00A64FB8">
      <w:r>
        <w:t>The relevant PA law in this matter</w:t>
      </w:r>
      <w:r w:rsidR="00AC1B91">
        <w:t xml:space="preserve">, </w:t>
      </w:r>
      <w:r w:rsidR="00AC1B91" w:rsidRPr="00AC1B91">
        <w:t>PA Act 129 § 2807(f)(3)</w:t>
      </w:r>
      <w:r w:rsidR="00AC1B91">
        <w:t>,</w:t>
      </w:r>
      <w:r>
        <w:t xml:space="preserve"> is provided below</w:t>
      </w:r>
      <w:r w:rsidR="00AC1B91">
        <w:t xml:space="preserve"> and PA </w:t>
      </w:r>
      <w:r w:rsidR="00AC1B91" w:rsidRPr="00AC1B91">
        <w:t>House and Senate Legislative Journals of 2008 reveal that lawmakers supported th</w:t>
      </w:r>
      <w:r w:rsidR="00AC1B91">
        <w:t>is</w:t>
      </w:r>
      <w:r w:rsidR="00AC1B91" w:rsidRPr="00AC1B91">
        <w:t xml:space="preserve"> final language of Act 129 because smart meter installations were </w:t>
      </w:r>
      <w:r w:rsidR="00AC1B91" w:rsidRPr="00AC1B91">
        <w:rPr>
          <w:b/>
          <w:bCs/>
        </w:rPr>
        <w:t>not mandated but voluntary</w:t>
      </w:r>
      <w:r w:rsidR="00AC1B91" w:rsidRPr="00AC1B91">
        <w:t xml:space="preserve">. </w:t>
      </w:r>
      <w:r>
        <w:t xml:space="preserve"> </w:t>
      </w:r>
    </w:p>
    <w:p w14:paraId="1EC3F423"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rPr>
      </w:pPr>
      <w:r w:rsidRPr="00EC0289">
        <w:rPr>
          <w:rFonts w:ascii="Courier New" w:eastAsia="Times New Roman" w:hAnsi="Courier New" w:cs="Courier New"/>
          <w:b/>
          <w:bCs/>
          <w:color w:val="26282A"/>
          <w:sz w:val="20"/>
          <w:szCs w:val="20"/>
        </w:rPr>
        <w:t>            (2)  Electric distribution companies shall furnish smart</w:t>
      </w:r>
    </w:p>
    <w:p w14:paraId="5E79AC71"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rPr>
      </w:pPr>
      <w:r w:rsidRPr="00EC0289">
        <w:rPr>
          <w:rFonts w:ascii="Courier New" w:eastAsia="Times New Roman" w:hAnsi="Courier New" w:cs="Courier New"/>
          <w:color w:val="26282A"/>
          <w:sz w:val="20"/>
          <w:szCs w:val="20"/>
        </w:rPr>
        <w:t xml:space="preserve">        </w:t>
      </w:r>
      <w:r w:rsidRPr="00EC0289">
        <w:rPr>
          <w:rFonts w:ascii="Courier New" w:eastAsia="Times New Roman" w:hAnsi="Courier New" w:cs="Courier New"/>
          <w:b/>
          <w:bCs/>
          <w:color w:val="26282A"/>
          <w:sz w:val="20"/>
          <w:szCs w:val="20"/>
        </w:rPr>
        <w:t>meter technology as follows:</w:t>
      </w:r>
    </w:p>
    <w:p w14:paraId="7CD9610F"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highlight w:val="yellow"/>
        </w:rPr>
      </w:pPr>
      <w:r w:rsidRPr="00EC0289">
        <w:rPr>
          <w:rFonts w:ascii="Courier New" w:eastAsia="Times New Roman" w:hAnsi="Courier New" w:cs="Courier New"/>
          <w:color w:val="26282A"/>
          <w:sz w:val="20"/>
          <w:szCs w:val="20"/>
        </w:rPr>
        <w:t xml:space="preserve">                </w:t>
      </w:r>
      <w:r w:rsidRPr="00EC0289">
        <w:rPr>
          <w:rFonts w:ascii="Courier New" w:eastAsia="Times New Roman" w:hAnsi="Courier New" w:cs="Courier New"/>
          <w:b/>
          <w:bCs/>
          <w:color w:val="26282A"/>
          <w:sz w:val="20"/>
          <w:szCs w:val="20"/>
        </w:rPr>
        <w:t xml:space="preserve">(i)  </w:t>
      </w:r>
      <w:r w:rsidRPr="00EC0289">
        <w:rPr>
          <w:rFonts w:ascii="Courier New" w:eastAsia="Times New Roman" w:hAnsi="Courier New" w:cs="Courier New"/>
          <w:b/>
          <w:bCs/>
          <w:color w:val="26282A"/>
          <w:sz w:val="20"/>
          <w:szCs w:val="20"/>
          <w:highlight w:val="yellow"/>
        </w:rPr>
        <w:t>Upon request from a customer that agrees to pay</w:t>
      </w:r>
    </w:p>
    <w:p w14:paraId="3A6D7FE0"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rPr>
      </w:pPr>
      <w:r w:rsidRPr="00EC0289">
        <w:rPr>
          <w:rFonts w:ascii="Courier New" w:eastAsia="Times New Roman" w:hAnsi="Courier New" w:cs="Courier New"/>
          <w:color w:val="26282A"/>
          <w:sz w:val="20"/>
          <w:szCs w:val="20"/>
          <w:highlight w:val="yellow"/>
        </w:rPr>
        <w:t xml:space="preserve">            </w:t>
      </w:r>
      <w:r w:rsidRPr="00EC0289">
        <w:rPr>
          <w:rFonts w:ascii="Courier New" w:eastAsia="Times New Roman" w:hAnsi="Courier New" w:cs="Courier New"/>
          <w:b/>
          <w:bCs/>
          <w:color w:val="26282A"/>
          <w:sz w:val="20"/>
          <w:szCs w:val="20"/>
          <w:highlight w:val="yellow"/>
        </w:rPr>
        <w:t>the cost of the smart meter at the time of the request.</w:t>
      </w:r>
    </w:p>
    <w:p w14:paraId="15CF7EEE"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rPr>
      </w:pPr>
      <w:r w:rsidRPr="00EC0289">
        <w:rPr>
          <w:rFonts w:ascii="Courier New" w:eastAsia="Times New Roman" w:hAnsi="Courier New" w:cs="Courier New"/>
          <w:color w:val="26282A"/>
          <w:sz w:val="20"/>
          <w:szCs w:val="20"/>
        </w:rPr>
        <w:t xml:space="preserve">                </w:t>
      </w:r>
      <w:r w:rsidRPr="00EC0289">
        <w:rPr>
          <w:rFonts w:ascii="Courier New" w:eastAsia="Times New Roman" w:hAnsi="Courier New" w:cs="Courier New"/>
          <w:b/>
          <w:bCs/>
          <w:color w:val="26282A"/>
          <w:sz w:val="20"/>
          <w:szCs w:val="20"/>
        </w:rPr>
        <w:t>(ii)  In new building construction.</w:t>
      </w:r>
    </w:p>
    <w:p w14:paraId="54454009"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rPr>
      </w:pPr>
      <w:r w:rsidRPr="00EC0289">
        <w:rPr>
          <w:rFonts w:ascii="Courier New" w:eastAsia="Times New Roman" w:hAnsi="Courier New" w:cs="Courier New"/>
          <w:color w:val="26282A"/>
          <w:sz w:val="20"/>
          <w:szCs w:val="20"/>
        </w:rPr>
        <w:t xml:space="preserve">                </w:t>
      </w:r>
      <w:r w:rsidRPr="00EC0289">
        <w:rPr>
          <w:rFonts w:ascii="Courier New" w:eastAsia="Times New Roman" w:hAnsi="Courier New" w:cs="Courier New"/>
          <w:b/>
          <w:bCs/>
          <w:color w:val="26282A"/>
          <w:sz w:val="20"/>
          <w:szCs w:val="20"/>
        </w:rPr>
        <w:t>(iii)  In accordance with a depreciation schedule not</w:t>
      </w:r>
    </w:p>
    <w:p w14:paraId="7FB66F5C"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rPr>
      </w:pPr>
      <w:r w:rsidRPr="00EC0289">
        <w:rPr>
          <w:rFonts w:ascii="Courier New" w:eastAsia="Times New Roman" w:hAnsi="Courier New" w:cs="Courier New"/>
          <w:color w:val="26282A"/>
          <w:sz w:val="20"/>
          <w:szCs w:val="20"/>
        </w:rPr>
        <w:t xml:space="preserve">            </w:t>
      </w:r>
      <w:r w:rsidRPr="00EC0289">
        <w:rPr>
          <w:rFonts w:ascii="Courier New" w:eastAsia="Times New Roman" w:hAnsi="Courier New" w:cs="Courier New"/>
          <w:b/>
          <w:bCs/>
          <w:color w:val="26282A"/>
          <w:sz w:val="20"/>
          <w:szCs w:val="20"/>
        </w:rPr>
        <w:t>to exceed 15 years.</w:t>
      </w:r>
    </w:p>
    <w:p w14:paraId="14DB1150"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highlight w:val="yellow"/>
        </w:rPr>
      </w:pPr>
      <w:r w:rsidRPr="00EC0289">
        <w:rPr>
          <w:rFonts w:ascii="Courier New" w:eastAsia="Times New Roman" w:hAnsi="Courier New" w:cs="Courier New"/>
          <w:color w:val="26282A"/>
          <w:sz w:val="20"/>
          <w:szCs w:val="20"/>
        </w:rPr>
        <w:t xml:space="preserve">            </w:t>
      </w:r>
      <w:r w:rsidRPr="00EC0289">
        <w:rPr>
          <w:rFonts w:ascii="Courier New" w:eastAsia="Times New Roman" w:hAnsi="Courier New" w:cs="Courier New"/>
          <w:b/>
          <w:bCs/>
          <w:color w:val="26282A"/>
          <w:sz w:val="20"/>
          <w:szCs w:val="20"/>
        </w:rPr>
        <w:t xml:space="preserve">(3)  </w:t>
      </w:r>
      <w:r w:rsidRPr="00EC0289">
        <w:rPr>
          <w:rFonts w:ascii="Courier New" w:eastAsia="Times New Roman" w:hAnsi="Courier New" w:cs="Courier New"/>
          <w:b/>
          <w:bCs/>
          <w:color w:val="26282A"/>
          <w:sz w:val="20"/>
          <w:szCs w:val="20"/>
          <w:highlight w:val="yellow"/>
        </w:rPr>
        <w:t>Electric distribution companies shall, with customer</w:t>
      </w:r>
    </w:p>
    <w:p w14:paraId="3333EB53"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highlight w:val="yellow"/>
        </w:rPr>
      </w:pPr>
      <w:r w:rsidRPr="00EC0289">
        <w:rPr>
          <w:rFonts w:ascii="Courier New" w:eastAsia="Times New Roman" w:hAnsi="Courier New" w:cs="Courier New"/>
          <w:color w:val="26282A"/>
          <w:sz w:val="20"/>
          <w:szCs w:val="20"/>
          <w:highlight w:val="yellow"/>
        </w:rPr>
        <w:t xml:space="preserve">        </w:t>
      </w:r>
      <w:r w:rsidRPr="00EC0289">
        <w:rPr>
          <w:rFonts w:ascii="Courier New" w:eastAsia="Times New Roman" w:hAnsi="Courier New" w:cs="Courier New"/>
          <w:b/>
          <w:bCs/>
          <w:color w:val="26282A"/>
          <w:sz w:val="20"/>
          <w:szCs w:val="20"/>
          <w:highlight w:val="yellow"/>
        </w:rPr>
        <w:t>consent, make available direct meter access and electronic</w:t>
      </w:r>
    </w:p>
    <w:p w14:paraId="69D7B102"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rPr>
      </w:pPr>
      <w:r w:rsidRPr="00EC0289">
        <w:rPr>
          <w:rFonts w:ascii="Courier New" w:eastAsia="Times New Roman" w:hAnsi="Courier New" w:cs="Courier New"/>
          <w:color w:val="26282A"/>
          <w:sz w:val="20"/>
          <w:szCs w:val="20"/>
          <w:highlight w:val="yellow"/>
        </w:rPr>
        <w:t xml:space="preserve">        </w:t>
      </w:r>
      <w:r w:rsidRPr="00EC0289">
        <w:rPr>
          <w:rFonts w:ascii="Courier New" w:eastAsia="Times New Roman" w:hAnsi="Courier New" w:cs="Courier New"/>
          <w:b/>
          <w:bCs/>
          <w:color w:val="26282A"/>
          <w:sz w:val="20"/>
          <w:szCs w:val="20"/>
          <w:highlight w:val="yellow"/>
        </w:rPr>
        <w:t>access to customer meter data to third parties</w:t>
      </w:r>
      <w:r w:rsidRPr="00EC0289">
        <w:rPr>
          <w:rFonts w:ascii="Courier New" w:eastAsia="Times New Roman" w:hAnsi="Courier New" w:cs="Courier New"/>
          <w:b/>
          <w:bCs/>
          <w:color w:val="26282A"/>
          <w:sz w:val="20"/>
          <w:szCs w:val="20"/>
        </w:rPr>
        <w:t>, including</w:t>
      </w:r>
    </w:p>
    <w:p w14:paraId="12AE7C1C" w14:textId="77777777" w:rsidR="00A64FB8" w:rsidRPr="00EC0289"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6282A"/>
          <w:sz w:val="20"/>
          <w:szCs w:val="20"/>
        </w:rPr>
      </w:pPr>
      <w:r w:rsidRPr="00EC0289">
        <w:rPr>
          <w:rFonts w:ascii="Courier New" w:eastAsia="Times New Roman" w:hAnsi="Courier New" w:cs="Courier New"/>
          <w:color w:val="26282A"/>
          <w:sz w:val="20"/>
          <w:szCs w:val="20"/>
        </w:rPr>
        <w:t xml:space="preserve">        </w:t>
      </w:r>
      <w:r w:rsidRPr="00EC0289">
        <w:rPr>
          <w:rFonts w:ascii="Courier New" w:eastAsia="Times New Roman" w:hAnsi="Courier New" w:cs="Courier New"/>
          <w:b/>
          <w:bCs/>
          <w:color w:val="26282A"/>
          <w:sz w:val="20"/>
          <w:szCs w:val="20"/>
        </w:rPr>
        <w:t>electric generation suppliers and providers of conservation</w:t>
      </w:r>
    </w:p>
    <w:p w14:paraId="4ADC049B" w14:textId="77777777" w:rsidR="00A64FB8" w:rsidRDefault="00A64FB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26282A"/>
          <w:sz w:val="20"/>
          <w:szCs w:val="20"/>
        </w:rPr>
      </w:pPr>
      <w:r w:rsidRPr="00EC0289">
        <w:rPr>
          <w:rFonts w:ascii="Courier New" w:eastAsia="Times New Roman" w:hAnsi="Courier New" w:cs="Courier New"/>
          <w:color w:val="26282A"/>
          <w:sz w:val="20"/>
          <w:szCs w:val="20"/>
        </w:rPr>
        <w:t xml:space="preserve">        </w:t>
      </w:r>
      <w:r w:rsidRPr="00EC0289">
        <w:rPr>
          <w:rFonts w:ascii="Courier New" w:eastAsia="Times New Roman" w:hAnsi="Courier New" w:cs="Courier New"/>
          <w:b/>
          <w:bCs/>
          <w:color w:val="26282A"/>
          <w:sz w:val="20"/>
          <w:szCs w:val="20"/>
        </w:rPr>
        <w:t>and load management services.</w:t>
      </w:r>
    </w:p>
    <w:p w14:paraId="44A5DB2B" w14:textId="77777777" w:rsidR="00CC2C58" w:rsidRDefault="00CC2C58" w:rsidP="00A64F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26282A"/>
          <w:sz w:val="20"/>
          <w:szCs w:val="20"/>
        </w:rPr>
      </w:pPr>
    </w:p>
    <w:p w14:paraId="1D86DAB4" w14:textId="50D180DD" w:rsidR="009D0992" w:rsidRDefault="00AC1B91" w:rsidP="00A64FB8">
      <w:r>
        <w:t xml:space="preserve">Furthermore, although the PA PUC and PECO used the PA Supreme Court to overturn the PA Commonwealth’s ruling that </w:t>
      </w:r>
      <w:r w:rsidRPr="00AC1B91">
        <w:t>the PUC erred in interpreting Act 129 as a smart meter mandate</w:t>
      </w:r>
      <w:r>
        <w:t>, the PA Supreme Court</w:t>
      </w:r>
      <w:r w:rsidR="00E55E47">
        <w:t xml:space="preserve"> stated in their </w:t>
      </w:r>
      <w:hyperlink r:id="rId10" w:history="1">
        <w:r w:rsidR="002F71A0" w:rsidRPr="002F71A0">
          <w:rPr>
            <w:rStyle w:val="Hyperlink"/>
            <w:i/>
            <w:iCs/>
          </w:rPr>
          <w:t>Povacz v. Pennsylvania Public Utility Commission</w:t>
        </w:r>
        <w:r w:rsidR="002F71A0" w:rsidRPr="002F71A0">
          <w:rPr>
            <w:rStyle w:val="Hyperlink"/>
          </w:rPr>
          <w:t xml:space="preserve"> </w:t>
        </w:r>
        <w:r w:rsidR="00E55E47" w:rsidRPr="002F71A0">
          <w:rPr>
            <w:rStyle w:val="Hyperlink"/>
          </w:rPr>
          <w:t>opinion</w:t>
        </w:r>
      </w:hyperlink>
      <w:r w:rsidR="007F570C">
        <w:rPr>
          <w:rStyle w:val="FootnoteReference"/>
          <w:i/>
          <w:iCs/>
        </w:rPr>
        <w:footnoteReference w:id="1"/>
      </w:r>
      <w:r w:rsidR="00507092">
        <w:t xml:space="preserve"> that</w:t>
      </w:r>
      <w:r w:rsidR="007F570C">
        <w:t xml:space="preserve"> “This </w:t>
      </w:r>
      <w:r>
        <w:t>holdin</w:t>
      </w:r>
      <w:r w:rsidR="00C91932">
        <w:t>g</w:t>
      </w:r>
      <w:r w:rsidR="00945AA5">
        <w:t xml:space="preserve"> </w:t>
      </w:r>
      <w:r>
        <w:t>does not preclude an electric utility from providing a reasonable accommodation to an electric customer in the absence of a Section 1501 violation pursuant to a customer service policy</w:t>
      </w:r>
      <w:r w:rsidR="007F570C">
        <w:t>.”</w:t>
      </w:r>
      <w:r w:rsidR="009D0992">
        <w:rPr>
          <w:rStyle w:val="FootnoteReference"/>
        </w:rPr>
        <w:footnoteReference w:id="2"/>
      </w:r>
      <w:r w:rsidR="007F570C">
        <w:t xml:space="preserve">  </w:t>
      </w:r>
    </w:p>
    <w:p w14:paraId="168FB35C" w14:textId="77777777" w:rsidR="00945AA5" w:rsidRDefault="00945AA5" w:rsidP="00A64FB8"/>
    <w:p w14:paraId="4E6D949E" w14:textId="2CE8931C" w:rsidR="00507092" w:rsidRDefault="007F570C" w:rsidP="00507092">
      <w:r>
        <w:t>The May 22</w:t>
      </w:r>
      <w:r w:rsidRPr="007F570C">
        <w:rPr>
          <w:vertAlign w:val="superscript"/>
        </w:rPr>
        <w:t>nd</w:t>
      </w:r>
      <w:r>
        <w:t xml:space="preserve"> PUC Hearing you are requested to attend is not in reference to a Section 1501 violation, but consumer choice for the </w:t>
      </w:r>
      <w:r w:rsidR="009D0992">
        <w:t>increasing</w:t>
      </w:r>
      <w:r>
        <w:t xml:space="preserve"> number of PA utility customers </w:t>
      </w:r>
      <w:r w:rsidR="005E212E">
        <w:t>concerned about the</w:t>
      </w:r>
      <w:r w:rsidR="00507092">
        <w:t xml:space="preserve"> </w:t>
      </w:r>
      <w:r>
        <w:t xml:space="preserve">pulsed </w:t>
      </w:r>
      <w:r w:rsidR="009D0992">
        <w:t>RF</w:t>
      </w:r>
      <w:r>
        <w:t>/microwave emissions</w:t>
      </w:r>
      <w:r w:rsidR="005E212E">
        <w:t xml:space="preserve"> effects</w:t>
      </w:r>
      <w:r>
        <w:t xml:space="preserve"> of smart meters.  Please find attached Dr. Ron Powell’s </w:t>
      </w:r>
      <w:r>
        <w:lastRenderedPageBreak/>
        <w:t xml:space="preserve">background information on this matter and </w:t>
      </w:r>
      <w:r w:rsidR="00C91932">
        <w:t>details on the</w:t>
      </w:r>
      <w:r>
        <w:t xml:space="preserve"> rigorous and growing opt-out program</w:t>
      </w:r>
      <w:r w:rsidR="009509B9">
        <w:t xml:space="preserve"> neighboring</w:t>
      </w:r>
      <w:r>
        <w:t xml:space="preserve"> Maryland offers to address utility customers concerns about smart meters.   </w:t>
      </w:r>
    </w:p>
    <w:p w14:paraId="0ED9B3A2" w14:textId="77777777" w:rsidR="00CC2C58" w:rsidRDefault="00CC2C58" w:rsidP="00507092"/>
    <w:p w14:paraId="48FF2605" w14:textId="20A57011" w:rsidR="00533D8C" w:rsidRDefault="00507092" w:rsidP="00066C84">
      <w:r>
        <w:t>I</w:t>
      </w:r>
      <w:r w:rsidR="009D0992">
        <w:t>n fact, all</w:t>
      </w:r>
      <w:r w:rsidR="001C019F">
        <w:t xml:space="preserve"> public</w:t>
      </w:r>
      <w:r w:rsidR="009D0992">
        <w:t xml:space="preserve"> PA utilities refusing to offer a reasonable </w:t>
      </w:r>
      <w:r w:rsidR="00C91932">
        <w:t>opt-out</w:t>
      </w:r>
      <w:r w:rsidR="009D0992">
        <w:t xml:space="preserve"> belong to parent companies that offer analog or non-transmitting meter opt-outs</w:t>
      </w:r>
      <w:r w:rsidR="00533D8C">
        <w:t>.  Below is a comprehensive list of each</w:t>
      </w:r>
      <w:r w:rsidR="00364AEC">
        <w:t xml:space="preserve"> public</w:t>
      </w:r>
      <w:r w:rsidR="00533D8C">
        <w:t xml:space="preserve"> PA utilit</w:t>
      </w:r>
      <w:r w:rsidR="00066C84">
        <w:t>y’s</w:t>
      </w:r>
      <w:r w:rsidR="00533D8C">
        <w:t xml:space="preserve"> parent company opt-out policies, with only PA subsidiaries being absent.</w:t>
      </w:r>
      <w:r w:rsidR="000671C5">
        <w:t xml:space="preserve">  Note that some states in which these subsidiaries are located do not have an opt-out law (e.g. ComEd, Rhode Island Energy) but these utilities offer an opt-out as best practice in corporate and social responsibility, whereas all PA utilities fail in this regard.</w:t>
      </w:r>
    </w:p>
    <w:tbl>
      <w:tblPr>
        <w:tblW w:w="9119" w:type="dxa"/>
        <w:tblLook w:val="04A0" w:firstRow="1" w:lastRow="0" w:firstColumn="1" w:lastColumn="0" w:noHBand="0" w:noVBand="1"/>
      </w:tblPr>
      <w:tblGrid>
        <w:gridCol w:w="2361"/>
        <w:gridCol w:w="268"/>
        <w:gridCol w:w="721"/>
        <w:gridCol w:w="18"/>
        <w:gridCol w:w="1705"/>
        <w:gridCol w:w="17"/>
        <w:gridCol w:w="428"/>
        <w:gridCol w:w="1563"/>
        <w:gridCol w:w="51"/>
        <w:gridCol w:w="129"/>
        <w:gridCol w:w="1693"/>
        <w:gridCol w:w="78"/>
        <w:gridCol w:w="89"/>
      </w:tblGrid>
      <w:tr w:rsidR="00CC2C58" w:rsidRPr="00CC2C58" w14:paraId="6B92915B" w14:textId="77777777" w:rsidTr="00CC2C58">
        <w:trPr>
          <w:trHeight w:val="345"/>
        </w:trPr>
        <w:tc>
          <w:tcPr>
            <w:tcW w:w="9119" w:type="dxa"/>
            <w:gridSpan w:val="13"/>
            <w:tcBorders>
              <w:top w:val="nil"/>
              <w:left w:val="nil"/>
              <w:bottom w:val="nil"/>
              <w:right w:val="nil"/>
            </w:tcBorders>
            <w:shd w:val="clear" w:color="auto" w:fill="auto"/>
            <w:noWrap/>
            <w:vAlign w:val="bottom"/>
            <w:hideMark/>
          </w:tcPr>
          <w:p w14:paraId="0D8CBF46" w14:textId="77777777" w:rsidR="00CC2C58" w:rsidRPr="00CC2C58" w:rsidRDefault="00CC2C58" w:rsidP="00CC2C58">
            <w:pPr>
              <w:ind w:firstLine="0"/>
              <w:jc w:val="center"/>
              <w:rPr>
                <w:rFonts w:ascii="Calibri" w:eastAsia="Times New Roman" w:hAnsi="Calibri" w:cs="Calibri"/>
                <w:b/>
                <w:bCs/>
                <w:i/>
                <w:iCs/>
                <w:color w:val="000000"/>
                <w:sz w:val="24"/>
                <w:szCs w:val="24"/>
              </w:rPr>
            </w:pPr>
            <w:r w:rsidRPr="00CC2C58">
              <w:rPr>
                <w:rFonts w:ascii="Calibri" w:eastAsia="Times New Roman" w:hAnsi="Calibri" w:cs="Calibri"/>
                <w:b/>
                <w:bCs/>
                <w:i/>
                <w:iCs/>
                <w:color w:val="000000"/>
                <w:sz w:val="24"/>
                <w:szCs w:val="24"/>
              </w:rPr>
              <w:t>EXELON SUBSIDIARIES ex PECO</w:t>
            </w:r>
          </w:p>
        </w:tc>
      </w:tr>
      <w:tr w:rsidR="00CC2C58" w:rsidRPr="00CC2C58" w14:paraId="2762C4DB" w14:textId="77777777" w:rsidTr="00CC2C58">
        <w:trPr>
          <w:trHeight w:val="324"/>
        </w:trPr>
        <w:tc>
          <w:tcPr>
            <w:tcW w:w="2361" w:type="dxa"/>
            <w:tcBorders>
              <w:top w:val="single" w:sz="8" w:space="0" w:color="D0CECE"/>
              <w:left w:val="single" w:sz="8" w:space="0" w:color="D0CECE"/>
              <w:bottom w:val="single" w:sz="8" w:space="0" w:color="D0CECE"/>
              <w:right w:val="single" w:sz="8" w:space="0" w:color="D0CECE"/>
            </w:tcBorders>
            <w:shd w:val="clear" w:color="auto" w:fill="auto"/>
            <w:noWrap/>
            <w:vAlign w:val="center"/>
            <w:hideMark/>
          </w:tcPr>
          <w:p w14:paraId="70DF4159" w14:textId="77777777" w:rsidR="00CC2C58" w:rsidRPr="00CC2C58" w:rsidRDefault="00CC2C58" w:rsidP="00CC2C58">
            <w:pPr>
              <w:ind w:firstLine="0"/>
              <w:jc w:val="left"/>
              <w:rPr>
                <w:rFonts w:ascii="Calibri" w:eastAsia="Times New Roman" w:hAnsi="Calibri" w:cs="Calibri"/>
                <w:b/>
                <w:bCs/>
                <w:color w:val="000000"/>
              </w:rPr>
            </w:pPr>
            <w:r w:rsidRPr="00CC2C58">
              <w:rPr>
                <w:rFonts w:ascii="Calibri" w:eastAsia="Times New Roman" w:hAnsi="Calibri" w:cs="Calibri"/>
                <w:b/>
                <w:bCs/>
                <w:color w:val="000000"/>
              </w:rPr>
              <w:t>Utility</w:t>
            </w:r>
          </w:p>
        </w:tc>
        <w:tc>
          <w:tcPr>
            <w:tcW w:w="989" w:type="dxa"/>
            <w:gridSpan w:val="2"/>
            <w:tcBorders>
              <w:top w:val="single" w:sz="8" w:space="0" w:color="D0CECE"/>
              <w:left w:val="nil"/>
              <w:bottom w:val="single" w:sz="8" w:space="0" w:color="D0CECE"/>
              <w:right w:val="single" w:sz="8" w:space="0" w:color="D0CECE"/>
            </w:tcBorders>
            <w:shd w:val="clear" w:color="auto" w:fill="auto"/>
            <w:noWrap/>
            <w:vAlign w:val="center"/>
            <w:hideMark/>
          </w:tcPr>
          <w:p w14:paraId="3FDAE5BF" w14:textId="77777777" w:rsidR="00CC2C58" w:rsidRPr="00CC2C58" w:rsidRDefault="00CC2C58" w:rsidP="00CC2C58">
            <w:pPr>
              <w:ind w:firstLine="0"/>
              <w:jc w:val="left"/>
              <w:rPr>
                <w:rFonts w:ascii="Calibri" w:eastAsia="Times New Roman" w:hAnsi="Calibri" w:cs="Calibri"/>
                <w:b/>
                <w:bCs/>
                <w:color w:val="000000"/>
              </w:rPr>
            </w:pPr>
            <w:r w:rsidRPr="00CC2C58">
              <w:rPr>
                <w:rFonts w:ascii="Calibri" w:eastAsia="Times New Roman" w:hAnsi="Calibri" w:cs="Calibri"/>
                <w:b/>
                <w:bCs/>
                <w:color w:val="000000"/>
              </w:rPr>
              <w:t>State</w:t>
            </w:r>
          </w:p>
        </w:tc>
        <w:tc>
          <w:tcPr>
            <w:tcW w:w="1740" w:type="dxa"/>
            <w:gridSpan w:val="3"/>
            <w:tcBorders>
              <w:top w:val="single" w:sz="8" w:space="0" w:color="D0CECE"/>
              <w:left w:val="nil"/>
              <w:bottom w:val="single" w:sz="8" w:space="0" w:color="D0CECE"/>
              <w:right w:val="single" w:sz="8" w:space="0" w:color="D0CECE"/>
            </w:tcBorders>
            <w:shd w:val="clear" w:color="auto" w:fill="auto"/>
            <w:vAlign w:val="center"/>
            <w:hideMark/>
          </w:tcPr>
          <w:p w14:paraId="4BACB850" w14:textId="77777777" w:rsidR="00CC2C58" w:rsidRPr="00CC2C58" w:rsidRDefault="00CC2C58" w:rsidP="00CC2C58">
            <w:pPr>
              <w:ind w:firstLine="0"/>
              <w:jc w:val="center"/>
              <w:rPr>
                <w:rFonts w:ascii="Calibri" w:eastAsia="Times New Roman" w:hAnsi="Calibri" w:cs="Calibri"/>
                <w:b/>
                <w:bCs/>
                <w:color w:val="000000"/>
              </w:rPr>
            </w:pPr>
            <w:r w:rsidRPr="00CC2C58">
              <w:rPr>
                <w:rFonts w:ascii="Calibri" w:eastAsia="Times New Roman" w:hAnsi="Calibri" w:cs="Calibri"/>
                <w:b/>
                <w:bCs/>
                <w:color w:val="000000"/>
              </w:rPr>
              <w:t>Opt-Out Meter</w:t>
            </w:r>
          </w:p>
        </w:tc>
        <w:tc>
          <w:tcPr>
            <w:tcW w:w="2042" w:type="dxa"/>
            <w:gridSpan w:val="3"/>
            <w:tcBorders>
              <w:top w:val="single" w:sz="8" w:space="0" w:color="D0CECE"/>
              <w:left w:val="nil"/>
              <w:bottom w:val="single" w:sz="8" w:space="0" w:color="D0CECE"/>
              <w:right w:val="single" w:sz="8" w:space="0" w:color="D0CECE"/>
            </w:tcBorders>
            <w:shd w:val="clear" w:color="auto" w:fill="auto"/>
            <w:vAlign w:val="center"/>
            <w:hideMark/>
          </w:tcPr>
          <w:p w14:paraId="3C27AC6E" w14:textId="77777777" w:rsidR="00CC2C58" w:rsidRPr="00CC2C58" w:rsidRDefault="00CC2C58" w:rsidP="00CC2C58">
            <w:pPr>
              <w:ind w:firstLine="0"/>
              <w:jc w:val="center"/>
              <w:rPr>
                <w:rFonts w:ascii="Calibri" w:eastAsia="Times New Roman" w:hAnsi="Calibri" w:cs="Calibri"/>
                <w:b/>
                <w:bCs/>
                <w:color w:val="000000"/>
              </w:rPr>
            </w:pPr>
            <w:r w:rsidRPr="00CC2C58">
              <w:rPr>
                <w:rFonts w:ascii="Calibri" w:eastAsia="Times New Roman" w:hAnsi="Calibri" w:cs="Calibri"/>
                <w:b/>
                <w:bCs/>
                <w:color w:val="000000"/>
              </w:rPr>
              <w:t>Monthly Fee</w:t>
            </w:r>
          </w:p>
        </w:tc>
        <w:tc>
          <w:tcPr>
            <w:tcW w:w="1986" w:type="dxa"/>
            <w:gridSpan w:val="4"/>
            <w:tcBorders>
              <w:top w:val="single" w:sz="8" w:space="0" w:color="D0CECE"/>
              <w:left w:val="nil"/>
              <w:bottom w:val="single" w:sz="8" w:space="0" w:color="D0CECE"/>
              <w:right w:val="single" w:sz="8" w:space="0" w:color="D0CECE"/>
            </w:tcBorders>
            <w:shd w:val="clear" w:color="auto" w:fill="auto"/>
            <w:vAlign w:val="center"/>
            <w:hideMark/>
          </w:tcPr>
          <w:p w14:paraId="590EC9DB" w14:textId="77777777" w:rsidR="00CC2C58" w:rsidRPr="00CC2C58" w:rsidRDefault="00CC2C58" w:rsidP="00CC2C58">
            <w:pPr>
              <w:ind w:firstLine="0"/>
              <w:jc w:val="center"/>
              <w:rPr>
                <w:rFonts w:ascii="Calibri" w:eastAsia="Times New Roman" w:hAnsi="Calibri" w:cs="Calibri"/>
                <w:b/>
                <w:bCs/>
                <w:color w:val="000000"/>
              </w:rPr>
            </w:pPr>
            <w:r w:rsidRPr="00CC2C58">
              <w:rPr>
                <w:rFonts w:ascii="Calibri" w:eastAsia="Times New Roman" w:hAnsi="Calibri" w:cs="Calibri"/>
                <w:b/>
                <w:bCs/>
                <w:color w:val="000000"/>
              </w:rPr>
              <w:t>One-time Fee</w:t>
            </w:r>
          </w:p>
        </w:tc>
      </w:tr>
      <w:tr w:rsidR="00CC2C58" w:rsidRPr="00CC2C58" w14:paraId="61E80C5F" w14:textId="77777777" w:rsidTr="00CC2C58">
        <w:trPr>
          <w:trHeight w:val="324"/>
        </w:trPr>
        <w:tc>
          <w:tcPr>
            <w:tcW w:w="2361" w:type="dxa"/>
            <w:tcBorders>
              <w:top w:val="nil"/>
              <w:left w:val="single" w:sz="8" w:space="0" w:color="D0CECE"/>
              <w:bottom w:val="single" w:sz="8" w:space="0" w:color="D0CECE"/>
              <w:right w:val="single" w:sz="8" w:space="0" w:color="D0CECE"/>
            </w:tcBorders>
            <w:shd w:val="clear" w:color="auto" w:fill="auto"/>
            <w:noWrap/>
            <w:vAlign w:val="center"/>
            <w:hideMark/>
          </w:tcPr>
          <w:p w14:paraId="1326C76C"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ComEd</w:t>
            </w:r>
          </w:p>
        </w:tc>
        <w:tc>
          <w:tcPr>
            <w:tcW w:w="989" w:type="dxa"/>
            <w:gridSpan w:val="2"/>
            <w:tcBorders>
              <w:top w:val="nil"/>
              <w:left w:val="nil"/>
              <w:bottom w:val="single" w:sz="8" w:space="0" w:color="D0CECE"/>
              <w:right w:val="single" w:sz="8" w:space="0" w:color="D0CECE"/>
            </w:tcBorders>
            <w:shd w:val="clear" w:color="auto" w:fill="auto"/>
            <w:noWrap/>
            <w:vAlign w:val="center"/>
            <w:hideMark/>
          </w:tcPr>
          <w:p w14:paraId="51BD471C"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IL</w:t>
            </w:r>
          </w:p>
        </w:tc>
        <w:tc>
          <w:tcPr>
            <w:tcW w:w="1740" w:type="dxa"/>
            <w:gridSpan w:val="3"/>
            <w:tcBorders>
              <w:top w:val="nil"/>
              <w:left w:val="nil"/>
              <w:bottom w:val="single" w:sz="8" w:space="0" w:color="D0CECE"/>
              <w:right w:val="single" w:sz="8" w:space="0" w:color="D0CECE"/>
            </w:tcBorders>
            <w:shd w:val="clear" w:color="auto" w:fill="auto"/>
            <w:noWrap/>
            <w:vAlign w:val="center"/>
            <w:hideMark/>
          </w:tcPr>
          <w:p w14:paraId="655DE4F2"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Analog</w:t>
            </w:r>
          </w:p>
        </w:tc>
        <w:tc>
          <w:tcPr>
            <w:tcW w:w="2042" w:type="dxa"/>
            <w:gridSpan w:val="3"/>
            <w:tcBorders>
              <w:top w:val="nil"/>
              <w:left w:val="nil"/>
              <w:bottom w:val="single" w:sz="8" w:space="0" w:color="D0CECE"/>
              <w:right w:val="single" w:sz="8" w:space="0" w:color="D0CECE"/>
            </w:tcBorders>
            <w:shd w:val="clear" w:color="auto" w:fill="auto"/>
            <w:noWrap/>
            <w:vAlign w:val="center"/>
            <w:hideMark/>
          </w:tcPr>
          <w:p w14:paraId="5E2507B5"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20.00 </w:t>
            </w:r>
          </w:p>
        </w:tc>
        <w:tc>
          <w:tcPr>
            <w:tcW w:w="1986" w:type="dxa"/>
            <w:gridSpan w:val="4"/>
            <w:tcBorders>
              <w:top w:val="nil"/>
              <w:left w:val="nil"/>
              <w:bottom w:val="single" w:sz="8" w:space="0" w:color="D0CECE"/>
              <w:right w:val="single" w:sz="8" w:space="0" w:color="D0CECE"/>
            </w:tcBorders>
            <w:shd w:val="clear" w:color="auto" w:fill="auto"/>
            <w:noWrap/>
            <w:vAlign w:val="center"/>
            <w:hideMark/>
          </w:tcPr>
          <w:p w14:paraId="4DA584E4"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    </w:t>
            </w:r>
          </w:p>
        </w:tc>
      </w:tr>
      <w:tr w:rsidR="00CC2C58" w:rsidRPr="00CC2C58" w14:paraId="1CADA992" w14:textId="77777777" w:rsidTr="00CC2C58">
        <w:trPr>
          <w:trHeight w:val="324"/>
        </w:trPr>
        <w:tc>
          <w:tcPr>
            <w:tcW w:w="2361" w:type="dxa"/>
            <w:tcBorders>
              <w:top w:val="nil"/>
              <w:left w:val="single" w:sz="8" w:space="0" w:color="D0CECE"/>
              <w:bottom w:val="single" w:sz="8" w:space="0" w:color="D0CECE"/>
              <w:right w:val="single" w:sz="8" w:space="0" w:color="D0CECE"/>
            </w:tcBorders>
            <w:shd w:val="clear" w:color="auto" w:fill="auto"/>
            <w:noWrap/>
            <w:vAlign w:val="center"/>
            <w:hideMark/>
          </w:tcPr>
          <w:p w14:paraId="1E2F87C8" w14:textId="77777777" w:rsidR="00CC2C58" w:rsidRPr="00CC2C58" w:rsidRDefault="00000000" w:rsidP="00CC2C58">
            <w:pPr>
              <w:ind w:firstLine="0"/>
              <w:jc w:val="left"/>
              <w:rPr>
                <w:rFonts w:ascii="Calibri" w:eastAsia="Times New Roman" w:hAnsi="Calibri" w:cs="Calibri"/>
                <w:color w:val="0563C1"/>
                <w:u w:val="single"/>
              </w:rPr>
            </w:pPr>
            <w:hyperlink r:id="rId11" w:history="1">
              <w:r w:rsidR="00CC2C58" w:rsidRPr="00CC2C58">
                <w:rPr>
                  <w:rFonts w:ascii="Calibri" w:eastAsia="Times New Roman" w:hAnsi="Calibri" w:cs="Calibri"/>
                  <w:color w:val="0563C1"/>
                  <w:u w:val="single"/>
                </w:rPr>
                <w:t>BGE</w:t>
              </w:r>
            </w:hyperlink>
          </w:p>
        </w:tc>
        <w:tc>
          <w:tcPr>
            <w:tcW w:w="989" w:type="dxa"/>
            <w:gridSpan w:val="2"/>
            <w:tcBorders>
              <w:top w:val="nil"/>
              <w:left w:val="nil"/>
              <w:bottom w:val="single" w:sz="8" w:space="0" w:color="D0CECE"/>
              <w:right w:val="single" w:sz="8" w:space="0" w:color="D0CECE"/>
            </w:tcBorders>
            <w:shd w:val="clear" w:color="auto" w:fill="auto"/>
            <w:noWrap/>
            <w:vAlign w:val="center"/>
            <w:hideMark/>
          </w:tcPr>
          <w:p w14:paraId="2078D362"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MD</w:t>
            </w:r>
          </w:p>
        </w:tc>
        <w:tc>
          <w:tcPr>
            <w:tcW w:w="1740" w:type="dxa"/>
            <w:gridSpan w:val="3"/>
            <w:tcBorders>
              <w:top w:val="nil"/>
              <w:left w:val="nil"/>
              <w:bottom w:val="single" w:sz="8" w:space="0" w:color="D0CECE"/>
              <w:right w:val="single" w:sz="8" w:space="0" w:color="D0CECE"/>
            </w:tcBorders>
            <w:shd w:val="clear" w:color="auto" w:fill="auto"/>
            <w:noWrap/>
            <w:vAlign w:val="center"/>
            <w:hideMark/>
          </w:tcPr>
          <w:p w14:paraId="56521444"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ERT</w:t>
            </w:r>
          </w:p>
        </w:tc>
        <w:tc>
          <w:tcPr>
            <w:tcW w:w="2042" w:type="dxa"/>
            <w:gridSpan w:val="3"/>
            <w:tcBorders>
              <w:top w:val="nil"/>
              <w:left w:val="nil"/>
              <w:bottom w:val="single" w:sz="8" w:space="0" w:color="D0CECE"/>
              <w:right w:val="single" w:sz="8" w:space="0" w:color="D0CECE"/>
            </w:tcBorders>
            <w:shd w:val="clear" w:color="auto" w:fill="auto"/>
            <w:noWrap/>
            <w:vAlign w:val="center"/>
            <w:hideMark/>
          </w:tcPr>
          <w:p w14:paraId="25E0615A"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5.50 </w:t>
            </w:r>
          </w:p>
        </w:tc>
        <w:tc>
          <w:tcPr>
            <w:tcW w:w="1986" w:type="dxa"/>
            <w:gridSpan w:val="4"/>
            <w:tcBorders>
              <w:top w:val="nil"/>
              <w:left w:val="nil"/>
              <w:bottom w:val="single" w:sz="8" w:space="0" w:color="D0CECE"/>
              <w:right w:val="single" w:sz="8" w:space="0" w:color="D0CECE"/>
            </w:tcBorders>
            <w:shd w:val="clear" w:color="auto" w:fill="auto"/>
            <w:noWrap/>
            <w:vAlign w:val="center"/>
            <w:hideMark/>
          </w:tcPr>
          <w:p w14:paraId="2C037BB5"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75.00 </w:t>
            </w:r>
          </w:p>
        </w:tc>
      </w:tr>
      <w:tr w:rsidR="00CC2C58" w:rsidRPr="00CC2C58" w14:paraId="08C9C11A" w14:textId="77777777" w:rsidTr="00CC2C58">
        <w:trPr>
          <w:trHeight w:val="324"/>
        </w:trPr>
        <w:tc>
          <w:tcPr>
            <w:tcW w:w="2361" w:type="dxa"/>
            <w:tcBorders>
              <w:top w:val="nil"/>
              <w:left w:val="single" w:sz="8" w:space="0" w:color="D0CECE"/>
              <w:bottom w:val="single" w:sz="8" w:space="0" w:color="D0CECE"/>
              <w:right w:val="single" w:sz="8" w:space="0" w:color="D0CECE"/>
            </w:tcBorders>
            <w:shd w:val="clear" w:color="auto" w:fill="auto"/>
            <w:noWrap/>
            <w:vAlign w:val="center"/>
            <w:hideMark/>
          </w:tcPr>
          <w:p w14:paraId="4D4EFF35" w14:textId="77777777" w:rsidR="00CC2C58" w:rsidRPr="00CC2C58" w:rsidRDefault="00000000" w:rsidP="00CC2C58">
            <w:pPr>
              <w:ind w:firstLine="0"/>
              <w:jc w:val="left"/>
              <w:rPr>
                <w:rFonts w:ascii="Calibri" w:eastAsia="Times New Roman" w:hAnsi="Calibri" w:cs="Calibri"/>
                <w:color w:val="0563C1"/>
                <w:u w:val="single"/>
              </w:rPr>
            </w:pPr>
            <w:hyperlink r:id="rId12" w:history="1">
              <w:r w:rsidR="00CC2C58" w:rsidRPr="00CC2C58">
                <w:rPr>
                  <w:rFonts w:ascii="Calibri" w:eastAsia="Times New Roman" w:hAnsi="Calibri" w:cs="Calibri"/>
                  <w:color w:val="0563C1"/>
                  <w:u w:val="single"/>
                </w:rPr>
                <w:t>PEPCO</w:t>
              </w:r>
            </w:hyperlink>
          </w:p>
        </w:tc>
        <w:tc>
          <w:tcPr>
            <w:tcW w:w="989" w:type="dxa"/>
            <w:gridSpan w:val="2"/>
            <w:tcBorders>
              <w:top w:val="nil"/>
              <w:left w:val="nil"/>
              <w:bottom w:val="single" w:sz="8" w:space="0" w:color="D0CECE"/>
              <w:right w:val="single" w:sz="8" w:space="0" w:color="D0CECE"/>
            </w:tcBorders>
            <w:shd w:val="clear" w:color="auto" w:fill="auto"/>
            <w:noWrap/>
            <w:vAlign w:val="center"/>
            <w:hideMark/>
          </w:tcPr>
          <w:p w14:paraId="6AA184CB"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MD</w:t>
            </w:r>
          </w:p>
        </w:tc>
        <w:tc>
          <w:tcPr>
            <w:tcW w:w="1740" w:type="dxa"/>
            <w:gridSpan w:val="3"/>
            <w:tcBorders>
              <w:top w:val="nil"/>
              <w:left w:val="nil"/>
              <w:bottom w:val="single" w:sz="8" w:space="0" w:color="D0CECE"/>
              <w:right w:val="single" w:sz="8" w:space="0" w:color="D0CECE"/>
            </w:tcBorders>
            <w:shd w:val="clear" w:color="auto" w:fill="auto"/>
            <w:noWrap/>
            <w:vAlign w:val="center"/>
            <w:hideMark/>
          </w:tcPr>
          <w:p w14:paraId="51705934"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Analog</w:t>
            </w:r>
          </w:p>
        </w:tc>
        <w:tc>
          <w:tcPr>
            <w:tcW w:w="2042" w:type="dxa"/>
            <w:gridSpan w:val="3"/>
            <w:tcBorders>
              <w:top w:val="nil"/>
              <w:left w:val="nil"/>
              <w:bottom w:val="single" w:sz="8" w:space="0" w:color="D0CECE"/>
              <w:right w:val="single" w:sz="8" w:space="0" w:color="D0CECE"/>
            </w:tcBorders>
            <w:shd w:val="clear" w:color="auto" w:fill="auto"/>
            <w:noWrap/>
            <w:vAlign w:val="center"/>
            <w:hideMark/>
          </w:tcPr>
          <w:p w14:paraId="5E1B0A96"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14.00 </w:t>
            </w:r>
          </w:p>
        </w:tc>
        <w:tc>
          <w:tcPr>
            <w:tcW w:w="1986" w:type="dxa"/>
            <w:gridSpan w:val="4"/>
            <w:tcBorders>
              <w:top w:val="nil"/>
              <w:left w:val="nil"/>
              <w:bottom w:val="single" w:sz="8" w:space="0" w:color="D0CECE"/>
              <w:right w:val="single" w:sz="8" w:space="0" w:color="D0CECE"/>
            </w:tcBorders>
            <w:shd w:val="clear" w:color="auto" w:fill="auto"/>
            <w:noWrap/>
            <w:vAlign w:val="center"/>
            <w:hideMark/>
          </w:tcPr>
          <w:p w14:paraId="4E720F82"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75.00 </w:t>
            </w:r>
          </w:p>
        </w:tc>
      </w:tr>
      <w:tr w:rsidR="00CC2C58" w:rsidRPr="00CC2C58" w14:paraId="4060938B" w14:textId="77777777" w:rsidTr="00CC2C58">
        <w:trPr>
          <w:trHeight w:val="324"/>
        </w:trPr>
        <w:tc>
          <w:tcPr>
            <w:tcW w:w="2361" w:type="dxa"/>
            <w:tcBorders>
              <w:top w:val="nil"/>
              <w:left w:val="single" w:sz="8" w:space="0" w:color="D0CECE"/>
              <w:bottom w:val="single" w:sz="8" w:space="0" w:color="D0CECE"/>
              <w:right w:val="single" w:sz="8" w:space="0" w:color="D0CECE"/>
            </w:tcBorders>
            <w:shd w:val="clear" w:color="auto" w:fill="auto"/>
            <w:noWrap/>
            <w:vAlign w:val="center"/>
            <w:hideMark/>
          </w:tcPr>
          <w:p w14:paraId="3F01B1E0" w14:textId="77777777" w:rsidR="00CC2C58" w:rsidRPr="00CC2C58" w:rsidRDefault="00000000" w:rsidP="00CC2C58">
            <w:pPr>
              <w:ind w:firstLine="0"/>
              <w:jc w:val="left"/>
              <w:rPr>
                <w:rFonts w:ascii="Calibri" w:eastAsia="Times New Roman" w:hAnsi="Calibri" w:cs="Calibri"/>
                <w:color w:val="0563C1"/>
                <w:u w:val="single"/>
              </w:rPr>
            </w:pPr>
            <w:hyperlink r:id="rId13" w:history="1">
              <w:r w:rsidR="00CC2C58" w:rsidRPr="00CC2C58">
                <w:rPr>
                  <w:rFonts w:ascii="Calibri" w:eastAsia="Times New Roman" w:hAnsi="Calibri" w:cs="Calibri"/>
                  <w:color w:val="0563C1"/>
                  <w:u w:val="single"/>
                </w:rPr>
                <w:t>Delmarva</w:t>
              </w:r>
            </w:hyperlink>
          </w:p>
        </w:tc>
        <w:tc>
          <w:tcPr>
            <w:tcW w:w="989" w:type="dxa"/>
            <w:gridSpan w:val="2"/>
            <w:tcBorders>
              <w:top w:val="nil"/>
              <w:left w:val="nil"/>
              <w:bottom w:val="single" w:sz="8" w:space="0" w:color="D0CECE"/>
              <w:right w:val="single" w:sz="8" w:space="0" w:color="D0CECE"/>
            </w:tcBorders>
            <w:shd w:val="clear" w:color="auto" w:fill="auto"/>
            <w:noWrap/>
            <w:vAlign w:val="center"/>
            <w:hideMark/>
          </w:tcPr>
          <w:p w14:paraId="3F11B764"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MD</w:t>
            </w:r>
          </w:p>
        </w:tc>
        <w:tc>
          <w:tcPr>
            <w:tcW w:w="1740" w:type="dxa"/>
            <w:gridSpan w:val="3"/>
            <w:tcBorders>
              <w:top w:val="nil"/>
              <w:left w:val="nil"/>
              <w:bottom w:val="single" w:sz="8" w:space="0" w:color="D0CECE"/>
              <w:right w:val="single" w:sz="8" w:space="0" w:color="D0CECE"/>
            </w:tcBorders>
            <w:shd w:val="clear" w:color="auto" w:fill="auto"/>
            <w:noWrap/>
            <w:vAlign w:val="center"/>
            <w:hideMark/>
          </w:tcPr>
          <w:p w14:paraId="25B54914"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Analog</w:t>
            </w:r>
          </w:p>
        </w:tc>
        <w:tc>
          <w:tcPr>
            <w:tcW w:w="2042" w:type="dxa"/>
            <w:gridSpan w:val="3"/>
            <w:tcBorders>
              <w:top w:val="nil"/>
              <w:left w:val="nil"/>
              <w:bottom w:val="single" w:sz="8" w:space="0" w:color="D0CECE"/>
              <w:right w:val="single" w:sz="8" w:space="0" w:color="D0CECE"/>
            </w:tcBorders>
            <w:shd w:val="clear" w:color="auto" w:fill="auto"/>
            <w:noWrap/>
            <w:vAlign w:val="center"/>
            <w:hideMark/>
          </w:tcPr>
          <w:p w14:paraId="36C13E43"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17.00 </w:t>
            </w:r>
          </w:p>
        </w:tc>
        <w:tc>
          <w:tcPr>
            <w:tcW w:w="1986" w:type="dxa"/>
            <w:gridSpan w:val="4"/>
            <w:tcBorders>
              <w:top w:val="nil"/>
              <w:left w:val="nil"/>
              <w:bottom w:val="single" w:sz="8" w:space="0" w:color="D0CECE"/>
              <w:right w:val="single" w:sz="8" w:space="0" w:color="D0CECE"/>
            </w:tcBorders>
            <w:shd w:val="clear" w:color="auto" w:fill="auto"/>
            <w:noWrap/>
            <w:vAlign w:val="center"/>
            <w:hideMark/>
          </w:tcPr>
          <w:p w14:paraId="2E7E5A72"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75.00 </w:t>
            </w:r>
          </w:p>
        </w:tc>
      </w:tr>
      <w:tr w:rsidR="00CC2C58" w:rsidRPr="00CC2C58" w14:paraId="7D7DA537" w14:textId="77777777" w:rsidTr="00CC2C58">
        <w:trPr>
          <w:trHeight w:val="324"/>
        </w:trPr>
        <w:tc>
          <w:tcPr>
            <w:tcW w:w="2361" w:type="dxa"/>
            <w:tcBorders>
              <w:top w:val="nil"/>
              <w:left w:val="single" w:sz="8" w:space="0" w:color="D0CECE"/>
              <w:bottom w:val="single" w:sz="8" w:space="0" w:color="D0CECE"/>
              <w:right w:val="single" w:sz="8" w:space="0" w:color="D0CECE"/>
            </w:tcBorders>
            <w:shd w:val="clear" w:color="auto" w:fill="auto"/>
            <w:noWrap/>
            <w:vAlign w:val="center"/>
            <w:hideMark/>
          </w:tcPr>
          <w:p w14:paraId="540903F3" w14:textId="77777777" w:rsidR="00CC2C58" w:rsidRPr="00CC2C58" w:rsidRDefault="00000000" w:rsidP="00CC2C58">
            <w:pPr>
              <w:ind w:firstLine="0"/>
              <w:jc w:val="left"/>
              <w:rPr>
                <w:rFonts w:ascii="Calibri" w:eastAsia="Times New Roman" w:hAnsi="Calibri" w:cs="Calibri"/>
                <w:color w:val="0563C1"/>
                <w:u w:val="single"/>
              </w:rPr>
            </w:pPr>
            <w:hyperlink r:id="rId14" w:anchor="search=smart%20meter" w:history="1">
              <w:r w:rsidR="00CC2C58" w:rsidRPr="00CC2C58">
                <w:rPr>
                  <w:rFonts w:ascii="Calibri" w:eastAsia="Times New Roman" w:hAnsi="Calibri" w:cs="Calibri"/>
                  <w:color w:val="0563C1"/>
                  <w:u w:val="single"/>
                </w:rPr>
                <w:t>Atlantic City Electric</w:t>
              </w:r>
            </w:hyperlink>
          </w:p>
        </w:tc>
        <w:tc>
          <w:tcPr>
            <w:tcW w:w="989" w:type="dxa"/>
            <w:gridSpan w:val="2"/>
            <w:tcBorders>
              <w:top w:val="nil"/>
              <w:left w:val="nil"/>
              <w:bottom w:val="single" w:sz="8" w:space="0" w:color="D0CECE"/>
              <w:right w:val="single" w:sz="8" w:space="0" w:color="D0CECE"/>
            </w:tcBorders>
            <w:shd w:val="clear" w:color="auto" w:fill="auto"/>
            <w:noWrap/>
            <w:vAlign w:val="center"/>
            <w:hideMark/>
          </w:tcPr>
          <w:p w14:paraId="78E973EA"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NJ</w:t>
            </w:r>
          </w:p>
        </w:tc>
        <w:tc>
          <w:tcPr>
            <w:tcW w:w="1740" w:type="dxa"/>
            <w:gridSpan w:val="3"/>
            <w:tcBorders>
              <w:top w:val="nil"/>
              <w:left w:val="nil"/>
              <w:bottom w:val="single" w:sz="8" w:space="0" w:color="D0CECE"/>
              <w:right w:val="single" w:sz="8" w:space="0" w:color="D0CECE"/>
            </w:tcBorders>
            <w:shd w:val="clear" w:color="auto" w:fill="auto"/>
            <w:noWrap/>
            <w:vAlign w:val="center"/>
            <w:hideMark/>
          </w:tcPr>
          <w:p w14:paraId="2F10D4C4"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Analog</w:t>
            </w:r>
          </w:p>
        </w:tc>
        <w:tc>
          <w:tcPr>
            <w:tcW w:w="2042" w:type="dxa"/>
            <w:gridSpan w:val="3"/>
            <w:tcBorders>
              <w:top w:val="nil"/>
              <w:left w:val="nil"/>
              <w:bottom w:val="single" w:sz="8" w:space="0" w:color="D0CECE"/>
              <w:right w:val="single" w:sz="8" w:space="0" w:color="D0CECE"/>
            </w:tcBorders>
            <w:shd w:val="clear" w:color="auto" w:fill="auto"/>
            <w:noWrap/>
            <w:vAlign w:val="center"/>
            <w:hideMark/>
          </w:tcPr>
          <w:p w14:paraId="33BF2750"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15.00 </w:t>
            </w:r>
          </w:p>
        </w:tc>
        <w:tc>
          <w:tcPr>
            <w:tcW w:w="1986" w:type="dxa"/>
            <w:gridSpan w:val="4"/>
            <w:tcBorders>
              <w:top w:val="nil"/>
              <w:left w:val="nil"/>
              <w:bottom w:val="single" w:sz="8" w:space="0" w:color="D0CECE"/>
              <w:right w:val="single" w:sz="8" w:space="0" w:color="D0CECE"/>
            </w:tcBorders>
            <w:shd w:val="clear" w:color="auto" w:fill="auto"/>
            <w:noWrap/>
            <w:vAlign w:val="center"/>
            <w:hideMark/>
          </w:tcPr>
          <w:p w14:paraId="4754062C"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45.00 </w:t>
            </w:r>
          </w:p>
        </w:tc>
      </w:tr>
      <w:tr w:rsidR="00CC2C58" w:rsidRPr="00CC2C58" w14:paraId="6516C11E" w14:textId="77777777" w:rsidTr="00CC2C58">
        <w:trPr>
          <w:gridAfter w:val="1"/>
          <w:wAfter w:w="87" w:type="dxa"/>
          <w:trHeight w:val="345"/>
        </w:trPr>
        <w:tc>
          <w:tcPr>
            <w:tcW w:w="9032" w:type="dxa"/>
            <w:gridSpan w:val="12"/>
            <w:tcBorders>
              <w:top w:val="nil"/>
              <w:left w:val="nil"/>
              <w:bottom w:val="nil"/>
              <w:right w:val="nil"/>
            </w:tcBorders>
            <w:shd w:val="clear" w:color="auto" w:fill="auto"/>
            <w:noWrap/>
            <w:vAlign w:val="bottom"/>
            <w:hideMark/>
          </w:tcPr>
          <w:p w14:paraId="639EFB2C" w14:textId="77777777" w:rsidR="00CC2C58" w:rsidRPr="00CC2C58" w:rsidRDefault="00CC2C58" w:rsidP="00CC2C58">
            <w:pPr>
              <w:ind w:firstLine="0"/>
              <w:jc w:val="center"/>
              <w:rPr>
                <w:rFonts w:ascii="Calibri" w:eastAsia="Times New Roman" w:hAnsi="Calibri" w:cs="Calibri"/>
                <w:b/>
                <w:bCs/>
                <w:i/>
                <w:iCs/>
                <w:color w:val="000000"/>
                <w:sz w:val="24"/>
                <w:szCs w:val="24"/>
              </w:rPr>
            </w:pPr>
            <w:r w:rsidRPr="00CC2C58">
              <w:rPr>
                <w:rFonts w:ascii="Calibri" w:eastAsia="Times New Roman" w:hAnsi="Calibri" w:cs="Calibri"/>
                <w:b/>
                <w:bCs/>
                <w:i/>
                <w:iCs/>
                <w:color w:val="000000"/>
                <w:sz w:val="24"/>
                <w:szCs w:val="24"/>
              </w:rPr>
              <w:t>PPL SUBSIDIARIES ex PPL</w:t>
            </w:r>
          </w:p>
        </w:tc>
      </w:tr>
      <w:tr w:rsidR="00CC2C58" w:rsidRPr="00CC2C58" w14:paraId="57486F2A" w14:textId="77777777" w:rsidTr="00CC2C58">
        <w:trPr>
          <w:gridAfter w:val="1"/>
          <w:wAfter w:w="89" w:type="dxa"/>
          <w:trHeight w:val="324"/>
        </w:trPr>
        <w:tc>
          <w:tcPr>
            <w:tcW w:w="2361" w:type="dxa"/>
            <w:tcBorders>
              <w:top w:val="single" w:sz="8" w:space="0" w:color="D0CECE"/>
              <w:left w:val="single" w:sz="8" w:space="0" w:color="D0CECE"/>
              <w:bottom w:val="single" w:sz="8" w:space="0" w:color="D0CECE"/>
              <w:right w:val="single" w:sz="8" w:space="0" w:color="D0CECE"/>
            </w:tcBorders>
            <w:shd w:val="clear" w:color="auto" w:fill="auto"/>
            <w:noWrap/>
            <w:vAlign w:val="center"/>
            <w:hideMark/>
          </w:tcPr>
          <w:p w14:paraId="34FB7896" w14:textId="77777777" w:rsidR="00CC2C58" w:rsidRPr="00CC2C58" w:rsidRDefault="00CC2C58" w:rsidP="00CC2C58">
            <w:pPr>
              <w:ind w:firstLine="0"/>
              <w:jc w:val="left"/>
              <w:rPr>
                <w:rFonts w:ascii="Calibri" w:eastAsia="Times New Roman" w:hAnsi="Calibri" w:cs="Calibri"/>
                <w:b/>
                <w:bCs/>
                <w:color w:val="000000"/>
              </w:rPr>
            </w:pPr>
            <w:r w:rsidRPr="00CC2C58">
              <w:rPr>
                <w:rFonts w:ascii="Calibri" w:eastAsia="Times New Roman" w:hAnsi="Calibri" w:cs="Calibri"/>
                <w:b/>
                <w:bCs/>
                <w:color w:val="000000"/>
              </w:rPr>
              <w:t>Utility</w:t>
            </w:r>
          </w:p>
        </w:tc>
        <w:tc>
          <w:tcPr>
            <w:tcW w:w="1007" w:type="dxa"/>
            <w:gridSpan w:val="3"/>
            <w:tcBorders>
              <w:top w:val="single" w:sz="8" w:space="0" w:color="D0CECE"/>
              <w:left w:val="nil"/>
              <w:bottom w:val="single" w:sz="8" w:space="0" w:color="D0CECE"/>
              <w:right w:val="single" w:sz="8" w:space="0" w:color="D0CECE"/>
            </w:tcBorders>
            <w:shd w:val="clear" w:color="auto" w:fill="auto"/>
            <w:noWrap/>
            <w:vAlign w:val="center"/>
            <w:hideMark/>
          </w:tcPr>
          <w:p w14:paraId="2E4DE06B" w14:textId="77777777" w:rsidR="00CC2C58" w:rsidRPr="00CC2C58" w:rsidRDefault="00CC2C58" w:rsidP="00CC2C58">
            <w:pPr>
              <w:ind w:firstLine="0"/>
              <w:jc w:val="left"/>
              <w:rPr>
                <w:rFonts w:ascii="Calibri" w:eastAsia="Times New Roman" w:hAnsi="Calibri" w:cs="Calibri"/>
                <w:b/>
                <w:bCs/>
                <w:color w:val="000000"/>
              </w:rPr>
            </w:pPr>
            <w:r w:rsidRPr="00CC2C58">
              <w:rPr>
                <w:rFonts w:ascii="Calibri" w:eastAsia="Times New Roman" w:hAnsi="Calibri" w:cs="Calibri"/>
                <w:b/>
                <w:bCs/>
                <w:color w:val="000000"/>
              </w:rPr>
              <w:t>State</w:t>
            </w:r>
          </w:p>
        </w:tc>
        <w:tc>
          <w:tcPr>
            <w:tcW w:w="1705" w:type="dxa"/>
            <w:tcBorders>
              <w:top w:val="single" w:sz="8" w:space="0" w:color="D0CECE"/>
              <w:left w:val="nil"/>
              <w:bottom w:val="single" w:sz="8" w:space="0" w:color="D0CECE"/>
              <w:right w:val="single" w:sz="8" w:space="0" w:color="D0CECE"/>
            </w:tcBorders>
            <w:shd w:val="clear" w:color="auto" w:fill="auto"/>
            <w:vAlign w:val="center"/>
            <w:hideMark/>
          </w:tcPr>
          <w:p w14:paraId="7CA73F1C" w14:textId="77777777" w:rsidR="00CC2C58" w:rsidRPr="00CC2C58" w:rsidRDefault="00CC2C58" w:rsidP="00CC2C58">
            <w:pPr>
              <w:ind w:firstLine="0"/>
              <w:jc w:val="center"/>
              <w:rPr>
                <w:rFonts w:ascii="Calibri" w:eastAsia="Times New Roman" w:hAnsi="Calibri" w:cs="Calibri"/>
                <w:b/>
                <w:bCs/>
                <w:color w:val="000000"/>
              </w:rPr>
            </w:pPr>
            <w:r w:rsidRPr="00CC2C58">
              <w:rPr>
                <w:rFonts w:ascii="Calibri" w:eastAsia="Times New Roman" w:hAnsi="Calibri" w:cs="Calibri"/>
                <w:b/>
                <w:bCs/>
                <w:color w:val="000000"/>
              </w:rPr>
              <w:t>Opt-Out Meter</w:t>
            </w:r>
          </w:p>
        </w:tc>
        <w:tc>
          <w:tcPr>
            <w:tcW w:w="2008" w:type="dxa"/>
            <w:gridSpan w:val="3"/>
            <w:tcBorders>
              <w:top w:val="single" w:sz="8" w:space="0" w:color="D0CECE"/>
              <w:left w:val="nil"/>
              <w:bottom w:val="single" w:sz="8" w:space="0" w:color="D0CECE"/>
              <w:right w:val="single" w:sz="8" w:space="0" w:color="D0CECE"/>
            </w:tcBorders>
            <w:shd w:val="clear" w:color="auto" w:fill="auto"/>
            <w:vAlign w:val="center"/>
            <w:hideMark/>
          </w:tcPr>
          <w:p w14:paraId="372D17FF" w14:textId="77777777" w:rsidR="00CC2C58" w:rsidRPr="00CC2C58" w:rsidRDefault="00CC2C58" w:rsidP="00CC2C58">
            <w:pPr>
              <w:ind w:firstLine="0"/>
              <w:jc w:val="center"/>
              <w:rPr>
                <w:rFonts w:ascii="Calibri" w:eastAsia="Times New Roman" w:hAnsi="Calibri" w:cs="Calibri"/>
                <w:b/>
                <w:bCs/>
                <w:color w:val="000000"/>
              </w:rPr>
            </w:pPr>
            <w:r w:rsidRPr="00CC2C58">
              <w:rPr>
                <w:rFonts w:ascii="Calibri" w:eastAsia="Times New Roman" w:hAnsi="Calibri" w:cs="Calibri"/>
                <w:b/>
                <w:bCs/>
                <w:color w:val="000000"/>
              </w:rPr>
              <w:t>Monthly Fee</w:t>
            </w:r>
          </w:p>
        </w:tc>
        <w:tc>
          <w:tcPr>
            <w:tcW w:w="1949" w:type="dxa"/>
            <w:gridSpan w:val="4"/>
            <w:tcBorders>
              <w:top w:val="single" w:sz="8" w:space="0" w:color="D0CECE"/>
              <w:left w:val="nil"/>
              <w:bottom w:val="single" w:sz="8" w:space="0" w:color="D0CECE"/>
              <w:right w:val="single" w:sz="8" w:space="0" w:color="D0CECE"/>
            </w:tcBorders>
            <w:shd w:val="clear" w:color="auto" w:fill="auto"/>
            <w:vAlign w:val="center"/>
            <w:hideMark/>
          </w:tcPr>
          <w:p w14:paraId="57FE712B" w14:textId="77777777" w:rsidR="00CC2C58" w:rsidRPr="00CC2C58" w:rsidRDefault="00CC2C58" w:rsidP="00CC2C58">
            <w:pPr>
              <w:ind w:firstLine="0"/>
              <w:jc w:val="center"/>
              <w:rPr>
                <w:rFonts w:ascii="Calibri" w:eastAsia="Times New Roman" w:hAnsi="Calibri" w:cs="Calibri"/>
                <w:b/>
                <w:bCs/>
                <w:color w:val="000000"/>
              </w:rPr>
            </w:pPr>
            <w:r w:rsidRPr="00CC2C58">
              <w:rPr>
                <w:rFonts w:ascii="Calibri" w:eastAsia="Times New Roman" w:hAnsi="Calibri" w:cs="Calibri"/>
                <w:b/>
                <w:bCs/>
                <w:color w:val="000000"/>
              </w:rPr>
              <w:t>One-time Fee</w:t>
            </w:r>
          </w:p>
        </w:tc>
      </w:tr>
      <w:tr w:rsidR="00CC2C58" w:rsidRPr="00CC2C58" w14:paraId="24A0FA92" w14:textId="77777777" w:rsidTr="00CC2C58">
        <w:trPr>
          <w:gridAfter w:val="1"/>
          <w:wAfter w:w="89" w:type="dxa"/>
          <w:trHeight w:val="324"/>
        </w:trPr>
        <w:tc>
          <w:tcPr>
            <w:tcW w:w="2361" w:type="dxa"/>
            <w:tcBorders>
              <w:top w:val="nil"/>
              <w:left w:val="single" w:sz="8" w:space="0" w:color="D0CECE"/>
              <w:bottom w:val="single" w:sz="8" w:space="0" w:color="D0CECE"/>
              <w:right w:val="single" w:sz="8" w:space="0" w:color="D0CECE"/>
            </w:tcBorders>
            <w:shd w:val="clear" w:color="auto" w:fill="auto"/>
            <w:noWrap/>
            <w:vAlign w:val="center"/>
            <w:hideMark/>
          </w:tcPr>
          <w:p w14:paraId="10DD715B" w14:textId="77777777" w:rsidR="00CC2C58" w:rsidRPr="00CC2C58" w:rsidRDefault="00000000" w:rsidP="00CC2C58">
            <w:pPr>
              <w:ind w:firstLine="0"/>
              <w:jc w:val="left"/>
              <w:rPr>
                <w:rFonts w:ascii="Calibri" w:eastAsia="Times New Roman" w:hAnsi="Calibri" w:cs="Calibri"/>
                <w:color w:val="0563C1"/>
                <w:u w:val="single"/>
              </w:rPr>
            </w:pPr>
            <w:hyperlink r:id="rId15" w:history="1">
              <w:r w:rsidR="00CC2C58" w:rsidRPr="00CC2C58">
                <w:rPr>
                  <w:rFonts w:ascii="Calibri" w:eastAsia="Times New Roman" w:hAnsi="Calibri" w:cs="Calibri"/>
                  <w:color w:val="0563C1"/>
                  <w:u w:val="single"/>
                </w:rPr>
                <w:t>Rhode Island Energy</w:t>
              </w:r>
            </w:hyperlink>
          </w:p>
        </w:tc>
        <w:tc>
          <w:tcPr>
            <w:tcW w:w="1007" w:type="dxa"/>
            <w:gridSpan w:val="3"/>
            <w:tcBorders>
              <w:top w:val="nil"/>
              <w:left w:val="nil"/>
              <w:bottom w:val="single" w:sz="8" w:space="0" w:color="D0CECE"/>
              <w:right w:val="single" w:sz="8" w:space="0" w:color="D0CECE"/>
            </w:tcBorders>
            <w:shd w:val="clear" w:color="auto" w:fill="auto"/>
            <w:noWrap/>
            <w:vAlign w:val="center"/>
            <w:hideMark/>
          </w:tcPr>
          <w:p w14:paraId="1A527465"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RI</w:t>
            </w:r>
          </w:p>
        </w:tc>
        <w:tc>
          <w:tcPr>
            <w:tcW w:w="1705" w:type="dxa"/>
            <w:tcBorders>
              <w:top w:val="nil"/>
              <w:left w:val="nil"/>
              <w:bottom w:val="single" w:sz="8" w:space="0" w:color="D0CECE"/>
              <w:right w:val="single" w:sz="8" w:space="0" w:color="D0CECE"/>
            </w:tcBorders>
            <w:shd w:val="clear" w:color="auto" w:fill="auto"/>
            <w:noWrap/>
            <w:vAlign w:val="center"/>
            <w:hideMark/>
          </w:tcPr>
          <w:p w14:paraId="68481357"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Analog</w:t>
            </w:r>
          </w:p>
        </w:tc>
        <w:tc>
          <w:tcPr>
            <w:tcW w:w="2008" w:type="dxa"/>
            <w:gridSpan w:val="3"/>
            <w:tcBorders>
              <w:top w:val="nil"/>
              <w:left w:val="nil"/>
              <w:bottom w:val="single" w:sz="8" w:space="0" w:color="D0CECE"/>
              <w:right w:val="single" w:sz="8" w:space="0" w:color="D0CECE"/>
            </w:tcBorders>
            <w:shd w:val="clear" w:color="auto" w:fill="auto"/>
            <w:noWrap/>
            <w:vAlign w:val="center"/>
            <w:hideMark/>
          </w:tcPr>
          <w:p w14:paraId="301AE9D7"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13.00 </w:t>
            </w:r>
          </w:p>
        </w:tc>
        <w:tc>
          <w:tcPr>
            <w:tcW w:w="1949" w:type="dxa"/>
            <w:gridSpan w:val="4"/>
            <w:tcBorders>
              <w:top w:val="nil"/>
              <w:left w:val="nil"/>
              <w:bottom w:val="single" w:sz="8" w:space="0" w:color="D0CECE"/>
              <w:right w:val="single" w:sz="8" w:space="0" w:color="D0CECE"/>
            </w:tcBorders>
            <w:shd w:val="clear" w:color="auto" w:fill="auto"/>
            <w:noWrap/>
            <w:vAlign w:val="center"/>
            <w:hideMark/>
          </w:tcPr>
          <w:p w14:paraId="1389B2E7"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    </w:t>
            </w:r>
          </w:p>
        </w:tc>
      </w:tr>
      <w:tr w:rsidR="00CC2C58" w:rsidRPr="00CC2C58" w14:paraId="59626369" w14:textId="77777777" w:rsidTr="00CC2C58">
        <w:trPr>
          <w:gridAfter w:val="1"/>
          <w:wAfter w:w="89" w:type="dxa"/>
          <w:trHeight w:val="324"/>
        </w:trPr>
        <w:tc>
          <w:tcPr>
            <w:tcW w:w="2361" w:type="dxa"/>
            <w:tcBorders>
              <w:top w:val="nil"/>
              <w:left w:val="single" w:sz="8" w:space="0" w:color="D0CECE"/>
              <w:bottom w:val="single" w:sz="8" w:space="0" w:color="D0CECE"/>
              <w:right w:val="single" w:sz="8" w:space="0" w:color="D0CECE"/>
            </w:tcBorders>
            <w:shd w:val="clear" w:color="auto" w:fill="auto"/>
            <w:noWrap/>
            <w:vAlign w:val="center"/>
            <w:hideMark/>
          </w:tcPr>
          <w:p w14:paraId="4EB984C9" w14:textId="77777777" w:rsidR="00CC2C58" w:rsidRPr="00CC2C58" w:rsidRDefault="00000000" w:rsidP="00CC2C58">
            <w:pPr>
              <w:ind w:firstLine="0"/>
              <w:jc w:val="left"/>
              <w:rPr>
                <w:rFonts w:ascii="Calibri" w:eastAsia="Times New Roman" w:hAnsi="Calibri" w:cs="Calibri"/>
                <w:color w:val="0563C1"/>
                <w:u w:val="single"/>
              </w:rPr>
            </w:pPr>
            <w:hyperlink r:id="rId16" w:history="1">
              <w:r w:rsidR="00CC2C58" w:rsidRPr="00CC2C58">
                <w:rPr>
                  <w:rFonts w:ascii="Calibri" w:eastAsia="Times New Roman" w:hAnsi="Calibri" w:cs="Calibri"/>
                  <w:color w:val="0563C1"/>
                  <w:u w:val="single"/>
                </w:rPr>
                <w:t>LG&amp;E Electric</w:t>
              </w:r>
            </w:hyperlink>
          </w:p>
        </w:tc>
        <w:tc>
          <w:tcPr>
            <w:tcW w:w="1007" w:type="dxa"/>
            <w:gridSpan w:val="3"/>
            <w:tcBorders>
              <w:top w:val="nil"/>
              <w:left w:val="nil"/>
              <w:bottom w:val="single" w:sz="8" w:space="0" w:color="D0CECE"/>
              <w:right w:val="single" w:sz="8" w:space="0" w:color="D0CECE"/>
            </w:tcBorders>
            <w:shd w:val="clear" w:color="auto" w:fill="auto"/>
            <w:noWrap/>
            <w:vAlign w:val="center"/>
            <w:hideMark/>
          </w:tcPr>
          <w:p w14:paraId="3E27F361"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KY</w:t>
            </w:r>
          </w:p>
        </w:tc>
        <w:tc>
          <w:tcPr>
            <w:tcW w:w="1705" w:type="dxa"/>
            <w:tcBorders>
              <w:top w:val="nil"/>
              <w:left w:val="nil"/>
              <w:bottom w:val="single" w:sz="8" w:space="0" w:color="D0CECE"/>
              <w:right w:val="single" w:sz="8" w:space="0" w:color="D0CECE"/>
            </w:tcBorders>
            <w:shd w:val="clear" w:color="auto" w:fill="auto"/>
            <w:noWrap/>
            <w:vAlign w:val="center"/>
            <w:hideMark/>
          </w:tcPr>
          <w:p w14:paraId="1DB09A58"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Analog</w:t>
            </w:r>
          </w:p>
        </w:tc>
        <w:tc>
          <w:tcPr>
            <w:tcW w:w="2008" w:type="dxa"/>
            <w:gridSpan w:val="3"/>
            <w:tcBorders>
              <w:top w:val="nil"/>
              <w:left w:val="nil"/>
              <w:bottom w:val="single" w:sz="8" w:space="0" w:color="D0CECE"/>
              <w:right w:val="single" w:sz="8" w:space="0" w:color="D0CECE"/>
            </w:tcBorders>
            <w:shd w:val="clear" w:color="auto" w:fill="auto"/>
            <w:noWrap/>
            <w:vAlign w:val="center"/>
            <w:hideMark/>
          </w:tcPr>
          <w:p w14:paraId="1B1DEE19"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12.00 </w:t>
            </w:r>
          </w:p>
        </w:tc>
        <w:tc>
          <w:tcPr>
            <w:tcW w:w="1949" w:type="dxa"/>
            <w:gridSpan w:val="4"/>
            <w:tcBorders>
              <w:top w:val="nil"/>
              <w:left w:val="nil"/>
              <w:bottom w:val="single" w:sz="8" w:space="0" w:color="D0CECE"/>
              <w:right w:val="single" w:sz="8" w:space="0" w:color="D0CECE"/>
            </w:tcBorders>
            <w:shd w:val="clear" w:color="auto" w:fill="auto"/>
            <w:noWrap/>
            <w:vAlign w:val="center"/>
            <w:hideMark/>
          </w:tcPr>
          <w:p w14:paraId="6643FD89"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35.00 </w:t>
            </w:r>
          </w:p>
        </w:tc>
      </w:tr>
      <w:tr w:rsidR="00CC2C58" w:rsidRPr="00CC2C58" w14:paraId="79F1446B" w14:textId="77777777" w:rsidTr="00CC2C58">
        <w:trPr>
          <w:gridAfter w:val="1"/>
          <w:wAfter w:w="89" w:type="dxa"/>
          <w:trHeight w:val="324"/>
        </w:trPr>
        <w:tc>
          <w:tcPr>
            <w:tcW w:w="2361" w:type="dxa"/>
            <w:tcBorders>
              <w:top w:val="nil"/>
              <w:left w:val="single" w:sz="8" w:space="0" w:color="D0CECE"/>
              <w:bottom w:val="single" w:sz="8" w:space="0" w:color="D0CECE"/>
              <w:right w:val="single" w:sz="8" w:space="0" w:color="D0CECE"/>
            </w:tcBorders>
            <w:shd w:val="clear" w:color="auto" w:fill="auto"/>
            <w:noWrap/>
            <w:vAlign w:val="center"/>
            <w:hideMark/>
          </w:tcPr>
          <w:p w14:paraId="2E8C898A" w14:textId="77777777" w:rsidR="00CC2C58" w:rsidRPr="00CC2C58" w:rsidRDefault="00000000" w:rsidP="00CC2C58">
            <w:pPr>
              <w:ind w:firstLine="0"/>
              <w:jc w:val="left"/>
              <w:rPr>
                <w:rFonts w:ascii="Calibri" w:eastAsia="Times New Roman" w:hAnsi="Calibri" w:cs="Calibri"/>
                <w:color w:val="0563C1"/>
                <w:u w:val="single"/>
              </w:rPr>
            </w:pPr>
            <w:hyperlink r:id="rId17" w:history="1">
              <w:r w:rsidR="00CC2C58" w:rsidRPr="00CC2C58">
                <w:rPr>
                  <w:rFonts w:ascii="Calibri" w:eastAsia="Times New Roman" w:hAnsi="Calibri" w:cs="Calibri"/>
                  <w:color w:val="0563C1"/>
                  <w:u w:val="single"/>
                </w:rPr>
                <w:t>LG&amp;E Gas</w:t>
              </w:r>
            </w:hyperlink>
          </w:p>
        </w:tc>
        <w:tc>
          <w:tcPr>
            <w:tcW w:w="1007" w:type="dxa"/>
            <w:gridSpan w:val="3"/>
            <w:tcBorders>
              <w:top w:val="nil"/>
              <w:left w:val="nil"/>
              <w:bottom w:val="single" w:sz="8" w:space="0" w:color="D0CECE"/>
              <w:right w:val="single" w:sz="8" w:space="0" w:color="D0CECE"/>
            </w:tcBorders>
            <w:shd w:val="clear" w:color="auto" w:fill="auto"/>
            <w:noWrap/>
            <w:vAlign w:val="center"/>
            <w:hideMark/>
          </w:tcPr>
          <w:p w14:paraId="6085372B"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KY</w:t>
            </w:r>
          </w:p>
        </w:tc>
        <w:tc>
          <w:tcPr>
            <w:tcW w:w="1705" w:type="dxa"/>
            <w:tcBorders>
              <w:top w:val="nil"/>
              <w:left w:val="nil"/>
              <w:bottom w:val="single" w:sz="8" w:space="0" w:color="D0CECE"/>
              <w:right w:val="single" w:sz="8" w:space="0" w:color="D0CECE"/>
            </w:tcBorders>
            <w:shd w:val="clear" w:color="auto" w:fill="auto"/>
            <w:noWrap/>
            <w:vAlign w:val="center"/>
            <w:hideMark/>
          </w:tcPr>
          <w:p w14:paraId="71A243C3"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Analog</w:t>
            </w:r>
          </w:p>
        </w:tc>
        <w:tc>
          <w:tcPr>
            <w:tcW w:w="2008" w:type="dxa"/>
            <w:gridSpan w:val="3"/>
            <w:tcBorders>
              <w:top w:val="nil"/>
              <w:left w:val="nil"/>
              <w:bottom w:val="single" w:sz="8" w:space="0" w:color="D0CECE"/>
              <w:right w:val="single" w:sz="8" w:space="0" w:color="D0CECE"/>
            </w:tcBorders>
            <w:shd w:val="clear" w:color="auto" w:fill="auto"/>
            <w:noWrap/>
            <w:vAlign w:val="center"/>
            <w:hideMark/>
          </w:tcPr>
          <w:p w14:paraId="790E7331"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5.00 </w:t>
            </w:r>
          </w:p>
        </w:tc>
        <w:tc>
          <w:tcPr>
            <w:tcW w:w="1949" w:type="dxa"/>
            <w:gridSpan w:val="4"/>
            <w:tcBorders>
              <w:top w:val="nil"/>
              <w:left w:val="nil"/>
              <w:bottom w:val="single" w:sz="8" w:space="0" w:color="D0CECE"/>
              <w:right w:val="single" w:sz="8" w:space="0" w:color="D0CECE"/>
            </w:tcBorders>
            <w:shd w:val="clear" w:color="auto" w:fill="auto"/>
            <w:noWrap/>
            <w:vAlign w:val="center"/>
            <w:hideMark/>
          </w:tcPr>
          <w:p w14:paraId="3A66199C"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33.00 </w:t>
            </w:r>
          </w:p>
        </w:tc>
      </w:tr>
      <w:tr w:rsidR="00CC2C58" w:rsidRPr="00CC2C58" w14:paraId="3D4FEAEC" w14:textId="77777777" w:rsidTr="00CC2C58">
        <w:trPr>
          <w:gridAfter w:val="1"/>
          <w:wAfter w:w="89" w:type="dxa"/>
          <w:trHeight w:val="324"/>
        </w:trPr>
        <w:tc>
          <w:tcPr>
            <w:tcW w:w="2361" w:type="dxa"/>
            <w:tcBorders>
              <w:top w:val="nil"/>
              <w:left w:val="single" w:sz="8" w:space="0" w:color="D0CECE"/>
              <w:bottom w:val="single" w:sz="8" w:space="0" w:color="D0CECE"/>
              <w:right w:val="single" w:sz="8" w:space="0" w:color="D0CECE"/>
            </w:tcBorders>
            <w:shd w:val="clear" w:color="auto" w:fill="auto"/>
            <w:noWrap/>
            <w:vAlign w:val="center"/>
            <w:hideMark/>
          </w:tcPr>
          <w:p w14:paraId="37DAB967" w14:textId="77777777" w:rsidR="00CC2C58" w:rsidRPr="00CC2C58" w:rsidRDefault="00000000" w:rsidP="00CC2C58">
            <w:pPr>
              <w:ind w:firstLine="0"/>
              <w:jc w:val="left"/>
              <w:rPr>
                <w:rFonts w:ascii="Calibri" w:eastAsia="Times New Roman" w:hAnsi="Calibri" w:cs="Calibri"/>
                <w:color w:val="0563C1"/>
                <w:u w:val="single"/>
              </w:rPr>
            </w:pPr>
            <w:hyperlink r:id="rId18" w:history="1">
              <w:r w:rsidR="00CC2C58" w:rsidRPr="00CC2C58">
                <w:rPr>
                  <w:rFonts w:ascii="Calibri" w:eastAsia="Times New Roman" w:hAnsi="Calibri" w:cs="Calibri"/>
                  <w:color w:val="0563C1"/>
                  <w:u w:val="single"/>
                </w:rPr>
                <w:t>KU</w:t>
              </w:r>
            </w:hyperlink>
          </w:p>
        </w:tc>
        <w:tc>
          <w:tcPr>
            <w:tcW w:w="1007" w:type="dxa"/>
            <w:gridSpan w:val="3"/>
            <w:tcBorders>
              <w:top w:val="nil"/>
              <w:left w:val="nil"/>
              <w:bottom w:val="single" w:sz="8" w:space="0" w:color="D0CECE"/>
              <w:right w:val="single" w:sz="8" w:space="0" w:color="D0CECE"/>
            </w:tcBorders>
            <w:shd w:val="clear" w:color="auto" w:fill="auto"/>
            <w:noWrap/>
            <w:vAlign w:val="center"/>
            <w:hideMark/>
          </w:tcPr>
          <w:p w14:paraId="5D077A0F"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KY/VA</w:t>
            </w:r>
          </w:p>
        </w:tc>
        <w:tc>
          <w:tcPr>
            <w:tcW w:w="1705" w:type="dxa"/>
            <w:tcBorders>
              <w:top w:val="nil"/>
              <w:left w:val="nil"/>
              <w:bottom w:val="single" w:sz="8" w:space="0" w:color="D0CECE"/>
              <w:right w:val="single" w:sz="8" w:space="0" w:color="D0CECE"/>
            </w:tcBorders>
            <w:shd w:val="clear" w:color="auto" w:fill="auto"/>
            <w:noWrap/>
            <w:vAlign w:val="center"/>
            <w:hideMark/>
          </w:tcPr>
          <w:p w14:paraId="02E282E5"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Analog</w:t>
            </w:r>
          </w:p>
        </w:tc>
        <w:tc>
          <w:tcPr>
            <w:tcW w:w="2008" w:type="dxa"/>
            <w:gridSpan w:val="3"/>
            <w:tcBorders>
              <w:top w:val="nil"/>
              <w:left w:val="nil"/>
              <w:bottom w:val="single" w:sz="8" w:space="0" w:color="D0CECE"/>
              <w:right w:val="single" w:sz="8" w:space="0" w:color="D0CECE"/>
            </w:tcBorders>
            <w:shd w:val="clear" w:color="auto" w:fill="auto"/>
            <w:noWrap/>
            <w:vAlign w:val="center"/>
            <w:hideMark/>
          </w:tcPr>
          <w:p w14:paraId="46C43ED1"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15.00 </w:t>
            </w:r>
          </w:p>
        </w:tc>
        <w:tc>
          <w:tcPr>
            <w:tcW w:w="1949" w:type="dxa"/>
            <w:gridSpan w:val="4"/>
            <w:tcBorders>
              <w:top w:val="nil"/>
              <w:left w:val="nil"/>
              <w:bottom w:val="single" w:sz="8" w:space="0" w:color="D0CECE"/>
              <w:right w:val="single" w:sz="8" w:space="0" w:color="D0CECE"/>
            </w:tcBorders>
            <w:shd w:val="clear" w:color="auto" w:fill="auto"/>
            <w:noWrap/>
            <w:vAlign w:val="center"/>
            <w:hideMark/>
          </w:tcPr>
          <w:p w14:paraId="71AAB789"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39.00 </w:t>
            </w:r>
          </w:p>
        </w:tc>
      </w:tr>
      <w:tr w:rsidR="00CC2C58" w:rsidRPr="00CC2C58" w14:paraId="5E3236CB" w14:textId="77777777" w:rsidTr="00CC2C58">
        <w:trPr>
          <w:gridAfter w:val="1"/>
          <w:wAfter w:w="89" w:type="dxa"/>
          <w:trHeight w:val="324"/>
        </w:trPr>
        <w:tc>
          <w:tcPr>
            <w:tcW w:w="2361" w:type="dxa"/>
            <w:tcBorders>
              <w:top w:val="nil"/>
              <w:left w:val="single" w:sz="8" w:space="0" w:color="D0CECE"/>
              <w:bottom w:val="single" w:sz="8" w:space="0" w:color="D0CECE"/>
              <w:right w:val="single" w:sz="8" w:space="0" w:color="D0CECE"/>
            </w:tcBorders>
            <w:shd w:val="clear" w:color="auto" w:fill="auto"/>
            <w:noWrap/>
            <w:vAlign w:val="center"/>
            <w:hideMark/>
          </w:tcPr>
          <w:p w14:paraId="3DF425CB" w14:textId="77777777" w:rsidR="00CC2C58" w:rsidRPr="00CC2C58" w:rsidRDefault="00000000" w:rsidP="00CC2C58">
            <w:pPr>
              <w:ind w:firstLine="0"/>
              <w:jc w:val="left"/>
              <w:rPr>
                <w:rFonts w:ascii="Calibri" w:eastAsia="Times New Roman" w:hAnsi="Calibri" w:cs="Calibri"/>
                <w:color w:val="0563C1"/>
                <w:u w:val="single"/>
              </w:rPr>
            </w:pPr>
            <w:hyperlink r:id="rId19" w:history="1">
              <w:r w:rsidR="00CC2C58" w:rsidRPr="00CC2C58">
                <w:rPr>
                  <w:rFonts w:ascii="Calibri" w:eastAsia="Times New Roman" w:hAnsi="Calibri" w:cs="Calibri"/>
                  <w:color w:val="0563C1"/>
                  <w:u w:val="single"/>
                </w:rPr>
                <w:t>ODP</w:t>
              </w:r>
            </w:hyperlink>
          </w:p>
        </w:tc>
        <w:tc>
          <w:tcPr>
            <w:tcW w:w="1007" w:type="dxa"/>
            <w:gridSpan w:val="3"/>
            <w:tcBorders>
              <w:top w:val="nil"/>
              <w:left w:val="nil"/>
              <w:bottom w:val="single" w:sz="8" w:space="0" w:color="D0CECE"/>
              <w:right w:val="single" w:sz="8" w:space="0" w:color="D0CECE"/>
            </w:tcBorders>
            <w:shd w:val="clear" w:color="auto" w:fill="auto"/>
            <w:noWrap/>
            <w:vAlign w:val="center"/>
            <w:hideMark/>
          </w:tcPr>
          <w:p w14:paraId="5A5AB037"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KY</w:t>
            </w:r>
          </w:p>
        </w:tc>
        <w:tc>
          <w:tcPr>
            <w:tcW w:w="1705" w:type="dxa"/>
            <w:tcBorders>
              <w:top w:val="nil"/>
              <w:left w:val="nil"/>
              <w:bottom w:val="single" w:sz="8" w:space="0" w:color="D0CECE"/>
              <w:right w:val="single" w:sz="8" w:space="0" w:color="D0CECE"/>
            </w:tcBorders>
            <w:shd w:val="clear" w:color="auto" w:fill="auto"/>
            <w:noWrap/>
            <w:vAlign w:val="center"/>
            <w:hideMark/>
          </w:tcPr>
          <w:p w14:paraId="64271528"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Analog</w:t>
            </w:r>
          </w:p>
        </w:tc>
        <w:tc>
          <w:tcPr>
            <w:tcW w:w="2008" w:type="dxa"/>
            <w:gridSpan w:val="3"/>
            <w:tcBorders>
              <w:top w:val="nil"/>
              <w:left w:val="nil"/>
              <w:bottom w:val="single" w:sz="8" w:space="0" w:color="D0CECE"/>
              <w:right w:val="single" w:sz="8" w:space="0" w:color="D0CECE"/>
            </w:tcBorders>
            <w:shd w:val="clear" w:color="auto" w:fill="auto"/>
            <w:noWrap/>
            <w:vAlign w:val="center"/>
            <w:hideMark/>
          </w:tcPr>
          <w:p w14:paraId="4A637DF1"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44.00 </w:t>
            </w:r>
          </w:p>
        </w:tc>
        <w:tc>
          <w:tcPr>
            <w:tcW w:w="1949" w:type="dxa"/>
            <w:gridSpan w:val="4"/>
            <w:tcBorders>
              <w:top w:val="nil"/>
              <w:left w:val="nil"/>
              <w:bottom w:val="single" w:sz="8" w:space="0" w:color="D0CECE"/>
              <w:right w:val="single" w:sz="8" w:space="0" w:color="D0CECE"/>
            </w:tcBorders>
            <w:shd w:val="clear" w:color="auto" w:fill="auto"/>
            <w:noWrap/>
            <w:vAlign w:val="center"/>
            <w:hideMark/>
          </w:tcPr>
          <w:p w14:paraId="65E35B4B"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33.00 </w:t>
            </w:r>
          </w:p>
        </w:tc>
      </w:tr>
      <w:tr w:rsidR="00CC2C58" w:rsidRPr="00CC2C58" w14:paraId="23C871AB" w14:textId="77777777" w:rsidTr="00CC2C58">
        <w:trPr>
          <w:gridAfter w:val="2"/>
          <w:wAfter w:w="165" w:type="dxa"/>
          <w:trHeight w:val="345"/>
        </w:trPr>
        <w:tc>
          <w:tcPr>
            <w:tcW w:w="8954" w:type="dxa"/>
            <w:gridSpan w:val="11"/>
            <w:tcBorders>
              <w:top w:val="nil"/>
              <w:left w:val="nil"/>
              <w:bottom w:val="nil"/>
              <w:right w:val="nil"/>
            </w:tcBorders>
            <w:shd w:val="clear" w:color="auto" w:fill="auto"/>
            <w:noWrap/>
            <w:vAlign w:val="bottom"/>
            <w:hideMark/>
          </w:tcPr>
          <w:p w14:paraId="0AC0DC19" w14:textId="1A31484B" w:rsidR="00CC2C58" w:rsidRPr="00CC2C58" w:rsidRDefault="00CC2C58" w:rsidP="00CC2C58">
            <w:pPr>
              <w:ind w:firstLine="0"/>
              <w:jc w:val="center"/>
              <w:rPr>
                <w:rFonts w:ascii="Calibri" w:eastAsia="Times New Roman" w:hAnsi="Calibri" w:cs="Calibri"/>
                <w:b/>
                <w:bCs/>
                <w:i/>
                <w:iCs/>
                <w:color w:val="000000"/>
                <w:sz w:val="24"/>
                <w:szCs w:val="24"/>
              </w:rPr>
            </w:pPr>
            <w:r w:rsidRPr="00CC2C58">
              <w:rPr>
                <w:rFonts w:ascii="Calibri" w:eastAsia="Times New Roman" w:hAnsi="Calibri" w:cs="Calibri"/>
                <w:b/>
                <w:bCs/>
                <w:i/>
                <w:iCs/>
                <w:color w:val="000000"/>
                <w:sz w:val="24"/>
                <w:szCs w:val="24"/>
              </w:rPr>
              <w:t xml:space="preserve">FIRST ENERGY SUBSIDIARIES ex West Penn Power, Met Ed, Penn Power </w:t>
            </w:r>
            <w:r>
              <w:rPr>
                <w:rFonts w:ascii="Calibri" w:eastAsia="Times New Roman" w:hAnsi="Calibri" w:cs="Calibri"/>
                <w:b/>
                <w:bCs/>
                <w:i/>
                <w:iCs/>
                <w:color w:val="000000"/>
                <w:sz w:val="24"/>
                <w:szCs w:val="24"/>
              </w:rPr>
              <w:t xml:space="preserve">&amp; </w:t>
            </w:r>
            <w:r w:rsidRPr="00CC2C58">
              <w:rPr>
                <w:rFonts w:ascii="Calibri" w:eastAsia="Times New Roman" w:hAnsi="Calibri" w:cs="Calibri"/>
                <w:b/>
                <w:bCs/>
                <w:i/>
                <w:iCs/>
                <w:color w:val="000000"/>
                <w:sz w:val="24"/>
                <w:szCs w:val="24"/>
              </w:rPr>
              <w:t>Pennelec</w:t>
            </w:r>
          </w:p>
        </w:tc>
      </w:tr>
      <w:tr w:rsidR="00CC2C58" w:rsidRPr="00CC2C58" w14:paraId="25349B57" w14:textId="77777777" w:rsidTr="00CC2C58">
        <w:trPr>
          <w:gridAfter w:val="2"/>
          <w:wAfter w:w="166" w:type="dxa"/>
          <w:trHeight w:val="324"/>
        </w:trPr>
        <w:tc>
          <w:tcPr>
            <w:tcW w:w="2629" w:type="dxa"/>
            <w:gridSpan w:val="2"/>
            <w:tcBorders>
              <w:top w:val="single" w:sz="8" w:space="0" w:color="D0CECE"/>
              <w:left w:val="single" w:sz="8" w:space="0" w:color="D0CECE"/>
              <w:bottom w:val="single" w:sz="8" w:space="0" w:color="D0CECE"/>
              <w:right w:val="single" w:sz="8" w:space="0" w:color="D0CECE"/>
            </w:tcBorders>
            <w:shd w:val="clear" w:color="auto" w:fill="auto"/>
            <w:noWrap/>
            <w:vAlign w:val="center"/>
            <w:hideMark/>
          </w:tcPr>
          <w:p w14:paraId="5BBD64A4" w14:textId="77777777" w:rsidR="00CC2C58" w:rsidRPr="00CC2C58" w:rsidRDefault="00CC2C58" w:rsidP="00CC2C58">
            <w:pPr>
              <w:ind w:firstLine="0"/>
              <w:jc w:val="left"/>
              <w:rPr>
                <w:rFonts w:ascii="Calibri" w:eastAsia="Times New Roman" w:hAnsi="Calibri" w:cs="Calibri"/>
                <w:b/>
                <w:bCs/>
                <w:color w:val="000000"/>
              </w:rPr>
            </w:pPr>
            <w:r w:rsidRPr="00CC2C58">
              <w:rPr>
                <w:rFonts w:ascii="Calibri" w:eastAsia="Times New Roman" w:hAnsi="Calibri" w:cs="Calibri"/>
                <w:b/>
                <w:bCs/>
                <w:color w:val="000000"/>
              </w:rPr>
              <w:t>Utility</w:t>
            </w:r>
          </w:p>
        </w:tc>
        <w:tc>
          <w:tcPr>
            <w:tcW w:w="739" w:type="dxa"/>
            <w:gridSpan w:val="2"/>
            <w:tcBorders>
              <w:top w:val="single" w:sz="8" w:space="0" w:color="D0CECE"/>
              <w:left w:val="nil"/>
              <w:bottom w:val="single" w:sz="8" w:space="0" w:color="D0CECE"/>
              <w:right w:val="single" w:sz="8" w:space="0" w:color="D0CECE"/>
            </w:tcBorders>
            <w:shd w:val="clear" w:color="auto" w:fill="auto"/>
            <w:noWrap/>
            <w:vAlign w:val="center"/>
            <w:hideMark/>
          </w:tcPr>
          <w:p w14:paraId="0BCAD846" w14:textId="77777777" w:rsidR="00CC2C58" w:rsidRPr="00CC2C58" w:rsidRDefault="00CC2C58" w:rsidP="00CC2C58">
            <w:pPr>
              <w:ind w:firstLine="0"/>
              <w:jc w:val="left"/>
              <w:rPr>
                <w:rFonts w:ascii="Calibri" w:eastAsia="Times New Roman" w:hAnsi="Calibri" w:cs="Calibri"/>
                <w:b/>
                <w:bCs/>
                <w:color w:val="000000"/>
              </w:rPr>
            </w:pPr>
            <w:r w:rsidRPr="00CC2C58">
              <w:rPr>
                <w:rFonts w:ascii="Calibri" w:eastAsia="Times New Roman" w:hAnsi="Calibri" w:cs="Calibri"/>
                <w:b/>
                <w:bCs/>
                <w:color w:val="000000"/>
              </w:rPr>
              <w:t>State</w:t>
            </w:r>
          </w:p>
        </w:tc>
        <w:tc>
          <w:tcPr>
            <w:tcW w:w="2150" w:type="dxa"/>
            <w:gridSpan w:val="3"/>
            <w:tcBorders>
              <w:top w:val="single" w:sz="8" w:space="0" w:color="D0CECE"/>
              <w:left w:val="nil"/>
              <w:bottom w:val="single" w:sz="8" w:space="0" w:color="D0CECE"/>
              <w:right w:val="single" w:sz="8" w:space="0" w:color="D0CECE"/>
            </w:tcBorders>
            <w:shd w:val="clear" w:color="auto" w:fill="auto"/>
            <w:vAlign w:val="center"/>
            <w:hideMark/>
          </w:tcPr>
          <w:p w14:paraId="7FD7B018" w14:textId="77777777" w:rsidR="00CC2C58" w:rsidRPr="00CC2C58" w:rsidRDefault="00CC2C58" w:rsidP="00CC2C58">
            <w:pPr>
              <w:ind w:firstLine="0"/>
              <w:jc w:val="center"/>
              <w:rPr>
                <w:rFonts w:ascii="Calibri" w:eastAsia="Times New Roman" w:hAnsi="Calibri" w:cs="Calibri"/>
                <w:b/>
                <w:bCs/>
                <w:color w:val="000000"/>
              </w:rPr>
            </w:pPr>
            <w:r w:rsidRPr="00CC2C58">
              <w:rPr>
                <w:rFonts w:ascii="Calibri" w:eastAsia="Times New Roman" w:hAnsi="Calibri" w:cs="Calibri"/>
                <w:b/>
                <w:bCs/>
                <w:color w:val="000000"/>
              </w:rPr>
              <w:t>Opt-Out Meter</w:t>
            </w:r>
          </w:p>
        </w:tc>
        <w:tc>
          <w:tcPr>
            <w:tcW w:w="1743" w:type="dxa"/>
            <w:gridSpan w:val="3"/>
            <w:tcBorders>
              <w:top w:val="single" w:sz="8" w:space="0" w:color="D0CECE"/>
              <w:left w:val="nil"/>
              <w:bottom w:val="single" w:sz="8" w:space="0" w:color="D0CECE"/>
              <w:right w:val="single" w:sz="8" w:space="0" w:color="D0CECE"/>
            </w:tcBorders>
            <w:shd w:val="clear" w:color="auto" w:fill="auto"/>
            <w:vAlign w:val="center"/>
            <w:hideMark/>
          </w:tcPr>
          <w:p w14:paraId="108B918B" w14:textId="77777777" w:rsidR="00CC2C58" w:rsidRPr="00CC2C58" w:rsidRDefault="00CC2C58" w:rsidP="00CC2C58">
            <w:pPr>
              <w:ind w:firstLine="0"/>
              <w:jc w:val="center"/>
              <w:rPr>
                <w:rFonts w:ascii="Calibri" w:eastAsia="Times New Roman" w:hAnsi="Calibri" w:cs="Calibri"/>
                <w:b/>
                <w:bCs/>
                <w:color w:val="000000"/>
              </w:rPr>
            </w:pPr>
            <w:r w:rsidRPr="00CC2C58">
              <w:rPr>
                <w:rFonts w:ascii="Calibri" w:eastAsia="Times New Roman" w:hAnsi="Calibri" w:cs="Calibri"/>
                <w:b/>
                <w:bCs/>
                <w:color w:val="000000"/>
              </w:rPr>
              <w:t>Monthly Fee</w:t>
            </w:r>
          </w:p>
        </w:tc>
        <w:tc>
          <w:tcPr>
            <w:tcW w:w="1692" w:type="dxa"/>
            <w:tcBorders>
              <w:top w:val="single" w:sz="8" w:space="0" w:color="D0CECE"/>
              <w:left w:val="nil"/>
              <w:bottom w:val="single" w:sz="8" w:space="0" w:color="D0CECE"/>
              <w:right w:val="single" w:sz="8" w:space="0" w:color="D0CECE"/>
            </w:tcBorders>
            <w:shd w:val="clear" w:color="auto" w:fill="auto"/>
            <w:vAlign w:val="center"/>
            <w:hideMark/>
          </w:tcPr>
          <w:p w14:paraId="555B28AF" w14:textId="77777777" w:rsidR="00CC2C58" w:rsidRPr="00CC2C58" w:rsidRDefault="00CC2C58" w:rsidP="00CC2C58">
            <w:pPr>
              <w:ind w:firstLine="0"/>
              <w:jc w:val="center"/>
              <w:rPr>
                <w:rFonts w:ascii="Calibri" w:eastAsia="Times New Roman" w:hAnsi="Calibri" w:cs="Calibri"/>
                <w:b/>
                <w:bCs/>
                <w:color w:val="000000"/>
              </w:rPr>
            </w:pPr>
            <w:r w:rsidRPr="00CC2C58">
              <w:rPr>
                <w:rFonts w:ascii="Calibri" w:eastAsia="Times New Roman" w:hAnsi="Calibri" w:cs="Calibri"/>
                <w:b/>
                <w:bCs/>
                <w:color w:val="000000"/>
              </w:rPr>
              <w:t>One-time Fee</w:t>
            </w:r>
          </w:p>
        </w:tc>
      </w:tr>
      <w:tr w:rsidR="00CC2C58" w:rsidRPr="00CC2C58" w14:paraId="357FFF56" w14:textId="77777777" w:rsidTr="00CC2C58">
        <w:trPr>
          <w:gridAfter w:val="2"/>
          <w:wAfter w:w="166" w:type="dxa"/>
          <w:trHeight w:val="324"/>
        </w:trPr>
        <w:tc>
          <w:tcPr>
            <w:tcW w:w="2629" w:type="dxa"/>
            <w:gridSpan w:val="2"/>
            <w:tcBorders>
              <w:top w:val="nil"/>
              <w:left w:val="single" w:sz="8" w:space="0" w:color="D0CECE"/>
              <w:bottom w:val="single" w:sz="8" w:space="0" w:color="D0CECE"/>
              <w:right w:val="single" w:sz="8" w:space="0" w:color="D0CECE"/>
            </w:tcBorders>
            <w:shd w:val="clear" w:color="auto" w:fill="auto"/>
            <w:noWrap/>
            <w:vAlign w:val="center"/>
            <w:hideMark/>
          </w:tcPr>
          <w:p w14:paraId="6E38234E" w14:textId="77777777" w:rsidR="00CC2C58" w:rsidRPr="00CC2C58" w:rsidRDefault="00000000" w:rsidP="00CC2C58">
            <w:pPr>
              <w:ind w:firstLine="0"/>
              <w:jc w:val="left"/>
              <w:rPr>
                <w:rFonts w:ascii="Calibri" w:eastAsia="Times New Roman" w:hAnsi="Calibri" w:cs="Calibri"/>
                <w:color w:val="0563C1"/>
                <w:u w:val="single"/>
              </w:rPr>
            </w:pPr>
            <w:hyperlink r:id="rId20" w:history="1">
              <w:r w:rsidR="00CC2C58" w:rsidRPr="00CC2C58">
                <w:rPr>
                  <w:rFonts w:ascii="Calibri" w:eastAsia="Times New Roman" w:hAnsi="Calibri" w:cs="Calibri"/>
                  <w:color w:val="0563C1"/>
                  <w:u w:val="single"/>
                </w:rPr>
                <w:t>Ohio Edison</w:t>
              </w:r>
            </w:hyperlink>
          </w:p>
        </w:tc>
        <w:tc>
          <w:tcPr>
            <w:tcW w:w="739" w:type="dxa"/>
            <w:gridSpan w:val="2"/>
            <w:tcBorders>
              <w:top w:val="nil"/>
              <w:left w:val="nil"/>
              <w:bottom w:val="single" w:sz="8" w:space="0" w:color="D0CECE"/>
              <w:right w:val="single" w:sz="8" w:space="0" w:color="D0CECE"/>
            </w:tcBorders>
            <w:shd w:val="clear" w:color="auto" w:fill="auto"/>
            <w:noWrap/>
            <w:vAlign w:val="center"/>
            <w:hideMark/>
          </w:tcPr>
          <w:p w14:paraId="7AAF6B35"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OH</w:t>
            </w:r>
          </w:p>
        </w:tc>
        <w:tc>
          <w:tcPr>
            <w:tcW w:w="2150" w:type="dxa"/>
            <w:gridSpan w:val="3"/>
            <w:tcBorders>
              <w:top w:val="nil"/>
              <w:left w:val="nil"/>
              <w:bottom w:val="single" w:sz="8" w:space="0" w:color="D0CECE"/>
              <w:right w:val="single" w:sz="8" w:space="0" w:color="D0CECE"/>
            </w:tcBorders>
            <w:shd w:val="clear" w:color="auto" w:fill="auto"/>
            <w:noWrap/>
            <w:vAlign w:val="center"/>
            <w:hideMark/>
          </w:tcPr>
          <w:p w14:paraId="36B0C478"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Non-communicating</w:t>
            </w:r>
          </w:p>
        </w:tc>
        <w:tc>
          <w:tcPr>
            <w:tcW w:w="1743" w:type="dxa"/>
            <w:gridSpan w:val="3"/>
            <w:tcBorders>
              <w:top w:val="nil"/>
              <w:left w:val="nil"/>
              <w:bottom w:val="single" w:sz="8" w:space="0" w:color="D0CECE"/>
              <w:right w:val="single" w:sz="8" w:space="0" w:color="D0CECE"/>
            </w:tcBorders>
            <w:shd w:val="clear" w:color="auto" w:fill="auto"/>
            <w:noWrap/>
            <w:vAlign w:val="center"/>
            <w:hideMark/>
          </w:tcPr>
          <w:p w14:paraId="366DFEF2"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28.29 </w:t>
            </w:r>
          </w:p>
        </w:tc>
        <w:tc>
          <w:tcPr>
            <w:tcW w:w="1692" w:type="dxa"/>
            <w:tcBorders>
              <w:top w:val="nil"/>
              <w:left w:val="nil"/>
              <w:bottom w:val="single" w:sz="8" w:space="0" w:color="D0CECE"/>
              <w:right w:val="single" w:sz="8" w:space="0" w:color="D0CECE"/>
            </w:tcBorders>
            <w:shd w:val="clear" w:color="auto" w:fill="auto"/>
            <w:noWrap/>
            <w:vAlign w:val="center"/>
            <w:hideMark/>
          </w:tcPr>
          <w:p w14:paraId="34DA4B1A"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41.72 </w:t>
            </w:r>
          </w:p>
        </w:tc>
      </w:tr>
      <w:tr w:rsidR="00CC2C58" w:rsidRPr="00CC2C58" w14:paraId="66FDAF89" w14:textId="77777777" w:rsidTr="00CC2C58">
        <w:trPr>
          <w:gridAfter w:val="2"/>
          <w:wAfter w:w="166" w:type="dxa"/>
          <w:trHeight w:val="324"/>
        </w:trPr>
        <w:tc>
          <w:tcPr>
            <w:tcW w:w="2629" w:type="dxa"/>
            <w:gridSpan w:val="2"/>
            <w:tcBorders>
              <w:top w:val="nil"/>
              <w:left w:val="single" w:sz="8" w:space="0" w:color="D0CECE"/>
              <w:bottom w:val="single" w:sz="8" w:space="0" w:color="D0CECE"/>
              <w:right w:val="single" w:sz="8" w:space="0" w:color="D0CECE"/>
            </w:tcBorders>
            <w:shd w:val="clear" w:color="auto" w:fill="auto"/>
            <w:noWrap/>
            <w:vAlign w:val="center"/>
            <w:hideMark/>
          </w:tcPr>
          <w:p w14:paraId="0A734662" w14:textId="77777777" w:rsidR="00CC2C58" w:rsidRPr="00CC2C58" w:rsidRDefault="00000000" w:rsidP="00CC2C58">
            <w:pPr>
              <w:ind w:firstLine="0"/>
              <w:jc w:val="left"/>
              <w:rPr>
                <w:rFonts w:ascii="Calibri" w:eastAsia="Times New Roman" w:hAnsi="Calibri" w:cs="Calibri"/>
                <w:color w:val="0563C1"/>
                <w:u w:val="single"/>
              </w:rPr>
            </w:pPr>
            <w:hyperlink r:id="rId21" w:history="1">
              <w:r w:rsidR="00CC2C58" w:rsidRPr="00CC2C58">
                <w:rPr>
                  <w:rFonts w:ascii="Calibri" w:eastAsia="Times New Roman" w:hAnsi="Calibri" w:cs="Calibri"/>
                  <w:color w:val="0563C1"/>
                  <w:u w:val="single"/>
                </w:rPr>
                <w:t>Toledo Edison</w:t>
              </w:r>
            </w:hyperlink>
          </w:p>
        </w:tc>
        <w:tc>
          <w:tcPr>
            <w:tcW w:w="739" w:type="dxa"/>
            <w:gridSpan w:val="2"/>
            <w:tcBorders>
              <w:top w:val="nil"/>
              <w:left w:val="nil"/>
              <w:bottom w:val="single" w:sz="8" w:space="0" w:color="D0CECE"/>
              <w:right w:val="single" w:sz="8" w:space="0" w:color="D0CECE"/>
            </w:tcBorders>
            <w:shd w:val="clear" w:color="auto" w:fill="auto"/>
            <w:noWrap/>
            <w:vAlign w:val="center"/>
            <w:hideMark/>
          </w:tcPr>
          <w:p w14:paraId="035FE3AA"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OH</w:t>
            </w:r>
          </w:p>
        </w:tc>
        <w:tc>
          <w:tcPr>
            <w:tcW w:w="2150" w:type="dxa"/>
            <w:gridSpan w:val="3"/>
            <w:tcBorders>
              <w:top w:val="nil"/>
              <w:left w:val="nil"/>
              <w:bottom w:val="single" w:sz="8" w:space="0" w:color="D0CECE"/>
              <w:right w:val="single" w:sz="8" w:space="0" w:color="D0CECE"/>
            </w:tcBorders>
            <w:shd w:val="clear" w:color="auto" w:fill="auto"/>
            <w:noWrap/>
            <w:vAlign w:val="center"/>
            <w:hideMark/>
          </w:tcPr>
          <w:p w14:paraId="10AD9DDE"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Non-communicating</w:t>
            </w:r>
          </w:p>
        </w:tc>
        <w:tc>
          <w:tcPr>
            <w:tcW w:w="1743" w:type="dxa"/>
            <w:gridSpan w:val="3"/>
            <w:tcBorders>
              <w:top w:val="nil"/>
              <w:left w:val="nil"/>
              <w:bottom w:val="single" w:sz="8" w:space="0" w:color="D0CECE"/>
              <w:right w:val="single" w:sz="8" w:space="0" w:color="D0CECE"/>
            </w:tcBorders>
            <w:shd w:val="clear" w:color="auto" w:fill="auto"/>
            <w:noWrap/>
            <w:vAlign w:val="center"/>
            <w:hideMark/>
          </w:tcPr>
          <w:p w14:paraId="6F8E0E75"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28.29 </w:t>
            </w:r>
          </w:p>
        </w:tc>
        <w:tc>
          <w:tcPr>
            <w:tcW w:w="1692" w:type="dxa"/>
            <w:tcBorders>
              <w:top w:val="nil"/>
              <w:left w:val="nil"/>
              <w:bottom w:val="single" w:sz="8" w:space="0" w:color="D0CECE"/>
              <w:right w:val="single" w:sz="8" w:space="0" w:color="D0CECE"/>
            </w:tcBorders>
            <w:shd w:val="clear" w:color="auto" w:fill="auto"/>
            <w:noWrap/>
            <w:vAlign w:val="center"/>
            <w:hideMark/>
          </w:tcPr>
          <w:p w14:paraId="37CDA347"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41.72 </w:t>
            </w:r>
          </w:p>
        </w:tc>
      </w:tr>
      <w:tr w:rsidR="00CC2C58" w:rsidRPr="00CC2C58" w14:paraId="1C044191" w14:textId="77777777" w:rsidTr="00CC2C58">
        <w:trPr>
          <w:gridAfter w:val="2"/>
          <w:wAfter w:w="166" w:type="dxa"/>
          <w:trHeight w:val="324"/>
        </w:trPr>
        <w:tc>
          <w:tcPr>
            <w:tcW w:w="2629" w:type="dxa"/>
            <w:gridSpan w:val="2"/>
            <w:tcBorders>
              <w:top w:val="nil"/>
              <w:left w:val="single" w:sz="8" w:space="0" w:color="D0CECE"/>
              <w:bottom w:val="single" w:sz="8" w:space="0" w:color="D0CECE"/>
              <w:right w:val="single" w:sz="8" w:space="0" w:color="D0CECE"/>
            </w:tcBorders>
            <w:shd w:val="clear" w:color="auto" w:fill="auto"/>
            <w:noWrap/>
            <w:vAlign w:val="center"/>
            <w:hideMark/>
          </w:tcPr>
          <w:p w14:paraId="2D440552" w14:textId="77777777" w:rsidR="00CC2C58" w:rsidRPr="00CC2C58" w:rsidRDefault="00000000" w:rsidP="00CC2C58">
            <w:pPr>
              <w:ind w:firstLine="0"/>
              <w:jc w:val="left"/>
              <w:rPr>
                <w:rFonts w:ascii="Calibri" w:eastAsia="Times New Roman" w:hAnsi="Calibri" w:cs="Calibri"/>
                <w:color w:val="0563C1"/>
                <w:u w:val="single"/>
              </w:rPr>
            </w:pPr>
            <w:hyperlink r:id="rId22" w:history="1">
              <w:r w:rsidR="00CC2C58" w:rsidRPr="00CC2C58">
                <w:rPr>
                  <w:rFonts w:ascii="Calibri" w:eastAsia="Times New Roman" w:hAnsi="Calibri" w:cs="Calibri"/>
                  <w:color w:val="0563C1"/>
                  <w:u w:val="single"/>
                </w:rPr>
                <w:t>The Illuminating Company</w:t>
              </w:r>
            </w:hyperlink>
          </w:p>
        </w:tc>
        <w:tc>
          <w:tcPr>
            <w:tcW w:w="739" w:type="dxa"/>
            <w:gridSpan w:val="2"/>
            <w:tcBorders>
              <w:top w:val="nil"/>
              <w:left w:val="nil"/>
              <w:bottom w:val="single" w:sz="8" w:space="0" w:color="D0CECE"/>
              <w:right w:val="single" w:sz="8" w:space="0" w:color="D0CECE"/>
            </w:tcBorders>
            <w:shd w:val="clear" w:color="auto" w:fill="auto"/>
            <w:noWrap/>
            <w:vAlign w:val="center"/>
            <w:hideMark/>
          </w:tcPr>
          <w:p w14:paraId="258CD982"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OH</w:t>
            </w:r>
          </w:p>
        </w:tc>
        <w:tc>
          <w:tcPr>
            <w:tcW w:w="2150" w:type="dxa"/>
            <w:gridSpan w:val="3"/>
            <w:tcBorders>
              <w:top w:val="nil"/>
              <w:left w:val="nil"/>
              <w:bottom w:val="single" w:sz="8" w:space="0" w:color="D0CECE"/>
              <w:right w:val="single" w:sz="8" w:space="0" w:color="D0CECE"/>
            </w:tcBorders>
            <w:shd w:val="clear" w:color="auto" w:fill="auto"/>
            <w:noWrap/>
            <w:vAlign w:val="center"/>
            <w:hideMark/>
          </w:tcPr>
          <w:p w14:paraId="278104FA"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Non-communicating</w:t>
            </w:r>
          </w:p>
        </w:tc>
        <w:tc>
          <w:tcPr>
            <w:tcW w:w="1743" w:type="dxa"/>
            <w:gridSpan w:val="3"/>
            <w:tcBorders>
              <w:top w:val="nil"/>
              <w:left w:val="nil"/>
              <w:bottom w:val="single" w:sz="8" w:space="0" w:color="D0CECE"/>
              <w:right w:val="single" w:sz="8" w:space="0" w:color="D0CECE"/>
            </w:tcBorders>
            <w:shd w:val="clear" w:color="auto" w:fill="auto"/>
            <w:noWrap/>
            <w:vAlign w:val="center"/>
            <w:hideMark/>
          </w:tcPr>
          <w:p w14:paraId="1BA8BFDE"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28.29 </w:t>
            </w:r>
          </w:p>
        </w:tc>
        <w:tc>
          <w:tcPr>
            <w:tcW w:w="1692" w:type="dxa"/>
            <w:tcBorders>
              <w:top w:val="nil"/>
              <w:left w:val="nil"/>
              <w:bottom w:val="single" w:sz="8" w:space="0" w:color="D0CECE"/>
              <w:right w:val="single" w:sz="8" w:space="0" w:color="D0CECE"/>
            </w:tcBorders>
            <w:shd w:val="clear" w:color="auto" w:fill="auto"/>
            <w:noWrap/>
            <w:vAlign w:val="center"/>
            <w:hideMark/>
          </w:tcPr>
          <w:p w14:paraId="33D56158"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41.72 </w:t>
            </w:r>
          </w:p>
        </w:tc>
      </w:tr>
      <w:tr w:rsidR="00CC2C58" w:rsidRPr="00CC2C58" w14:paraId="77A497A5" w14:textId="77777777" w:rsidTr="00CC2C58">
        <w:trPr>
          <w:gridAfter w:val="2"/>
          <w:wAfter w:w="166" w:type="dxa"/>
          <w:trHeight w:val="324"/>
        </w:trPr>
        <w:tc>
          <w:tcPr>
            <w:tcW w:w="2629" w:type="dxa"/>
            <w:gridSpan w:val="2"/>
            <w:tcBorders>
              <w:top w:val="nil"/>
              <w:left w:val="single" w:sz="8" w:space="0" w:color="D0CECE"/>
              <w:bottom w:val="single" w:sz="8" w:space="0" w:color="D0CECE"/>
              <w:right w:val="single" w:sz="8" w:space="0" w:color="D0CECE"/>
            </w:tcBorders>
            <w:shd w:val="clear" w:color="auto" w:fill="auto"/>
            <w:noWrap/>
            <w:vAlign w:val="center"/>
            <w:hideMark/>
          </w:tcPr>
          <w:p w14:paraId="6A540DEC" w14:textId="77777777" w:rsidR="00CC2C58" w:rsidRPr="00CC2C58" w:rsidRDefault="00000000" w:rsidP="00CC2C58">
            <w:pPr>
              <w:ind w:firstLine="0"/>
              <w:jc w:val="left"/>
              <w:rPr>
                <w:rFonts w:ascii="Calibri" w:eastAsia="Times New Roman" w:hAnsi="Calibri" w:cs="Calibri"/>
                <w:color w:val="0563C1"/>
                <w:u w:val="single"/>
              </w:rPr>
            </w:pPr>
            <w:hyperlink r:id="rId23" w:history="1">
              <w:r w:rsidR="00CC2C58" w:rsidRPr="00CC2C58">
                <w:rPr>
                  <w:rFonts w:ascii="Calibri" w:eastAsia="Times New Roman" w:hAnsi="Calibri" w:cs="Calibri"/>
                  <w:color w:val="0563C1"/>
                  <w:u w:val="single"/>
                </w:rPr>
                <w:t>JCP&amp;L</w:t>
              </w:r>
            </w:hyperlink>
          </w:p>
        </w:tc>
        <w:tc>
          <w:tcPr>
            <w:tcW w:w="739" w:type="dxa"/>
            <w:gridSpan w:val="2"/>
            <w:tcBorders>
              <w:top w:val="nil"/>
              <w:left w:val="nil"/>
              <w:bottom w:val="single" w:sz="8" w:space="0" w:color="D0CECE"/>
              <w:right w:val="single" w:sz="8" w:space="0" w:color="D0CECE"/>
            </w:tcBorders>
            <w:shd w:val="clear" w:color="auto" w:fill="auto"/>
            <w:noWrap/>
            <w:vAlign w:val="center"/>
            <w:hideMark/>
          </w:tcPr>
          <w:p w14:paraId="35A7040E" w14:textId="77777777" w:rsidR="00CC2C58" w:rsidRPr="00CC2C58" w:rsidRDefault="00CC2C58" w:rsidP="00CC2C58">
            <w:pPr>
              <w:ind w:firstLine="0"/>
              <w:jc w:val="left"/>
              <w:rPr>
                <w:rFonts w:ascii="Calibri" w:eastAsia="Times New Roman" w:hAnsi="Calibri" w:cs="Calibri"/>
                <w:color w:val="000000"/>
              </w:rPr>
            </w:pPr>
            <w:r w:rsidRPr="00CC2C58">
              <w:rPr>
                <w:rFonts w:ascii="Calibri" w:eastAsia="Times New Roman" w:hAnsi="Calibri" w:cs="Calibri"/>
                <w:color w:val="000000"/>
              </w:rPr>
              <w:t>NJ</w:t>
            </w:r>
          </w:p>
        </w:tc>
        <w:tc>
          <w:tcPr>
            <w:tcW w:w="2150" w:type="dxa"/>
            <w:gridSpan w:val="3"/>
            <w:tcBorders>
              <w:top w:val="nil"/>
              <w:left w:val="nil"/>
              <w:bottom w:val="single" w:sz="8" w:space="0" w:color="D0CECE"/>
              <w:right w:val="single" w:sz="8" w:space="0" w:color="D0CECE"/>
            </w:tcBorders>
            <w:shd w:val="clear" w:color="auto" w:fill="auto"/>
            <w:noWrap/>
            <w:vAlign w:val="center"/>
            <w:hideMark/>
          </w:tcPr>
          <w:p w14:paraId="63536773" w14:textId="77777777" w:rsidR="00CC2C58" w:rsidRPr="00CC2C58" w:rsidRDefault="00CC2C58" w:rsidP="00CC2C58">
            <w:pPr>
              <w:ind w:firstLine="0"/>
              <w:jc w:val="center"/>
              <w:rPr>
                <w:rFonts w:ascii="Calibri" w:eastAsia="Times New Roman" w:hAnsi="Calibri" w:cs="Calibri"/>
                <w:color w:val="000000"/>
              </w:rPr>
            </w:pPr>
            <w:r w:rsidRPr="00CC2C58">
              <w:rPr>
                <w:rFonts w:ascii="Calibri" w:eastAsia="Times New Roman" w:hAnsi="Calibri" w:cs="Calibri"/>
                <w:color w:val="000000"/>
              </w:rPr>
              <w:t>Non-communicating</w:t>
            </w:r>
          </w:p>
        </w:tc>
        <w:tc>
          <w:tcPr>
            <w:tcW w:w="1743" w:type="dxa"/>
            <w:gridSpan w:val="3"/>
            <w:tcBorders>
              <w:top w:val="nil"/>
              <w:left w:val="nil"/>
              <w:bottom w:val="single" w:sz="8" w:space="0" w:color="D0CECE"/>
              <w:right w:val="single" w:sz="8" w:space="0" w:color="D0CECE"/>
            </w:tcBorders>
            <w:shd w:val="clear" w:color="auto" w:fill="auto"/>
            <w:noWrap/>
            <w:vAlign w:val="center"/>
            <w:hideMark/>
          </w:tcPr>
          <w:p w14:paraId="11B482DE"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15.00 </w:t>
            </w:r>
          </w:p>
        </w:tc>
        <w:tc>
          <w:tcPr>
            <w:tcW w:w="1692" w:type="dxa"/>
            <w:tcBorders>
              <w:top w:val="nil"/>
              <w:left w:val="nil"/>
              <w:bottom w:val="single" w:sz="8" w:space="0" w:color="D0CECE"/>
              <w:right w:val="single" w:sz="8" w:space="0" w:color="D0CECE"/>
            </w:tcBorders>
            <w:shd w:val="clear" w:color="auto" w:fill="auto"/>
            <w:noWrap/>
            <w:vAlign w:val="center"/>
            <w:hideMark/>
          </w:tcPr>
          <w:p w14:paraId="550D3B31" w14:textId="77777777" w:rsidR="00CC2C58" w:rsidRPr="00CC2C58" w:rsidRDefault="00CC2C58" w:rsidP="00CC2C58">
            <w:pPr>
              <w:ind w:firstLineChars="100" w:firstLine="220"/>
              <w:jc w:val="right"/>
              <w:rPr>
                <w:rFonts w:ascii="Calibri" w:eastAsia="Times New Roman" w:hAnsi="Calibri" w:cs="Calibri"/>
                <w:color w:val="000000"/>
              </w:rPr>
            </w:pPr>
            <w:r w:rsidRPr="00CC2C58">
              <w:rPr>
                <w:rFonts w:ascii="Calibri" w:eastAsia="Times New Roman" w:hAnsi="Calibri" w:cs="Calibri"/>
                <w:color w:val="000000"/>
              </w:rPr>
              <w:t xml:space="preserve"> $        39.00 </w:t>
            </w:r>
          </w:p>
        </w:tc>
      </w:tr>
    </w:tbl>
    <w:p w14:paraId="67F69915" w14:textId="77777777" w:rsidR="00066C84" w:rsidRDefault="00066C84" w:rsidP="00066C84"/>
    <w:p w14:paraId="7940F032" w14:textId="217C5C05" w:rsidR="00250050" w:rsidRDefault="00250050" w:rsidP="009509B9">
      <w:r>
        <w:t>We await your favorable reply in fulfilling OCA’s mission “</w:t>
      </w:r>
      <w:r w:rsidRPr="00250050">
        <w:t>to represent the consumers of Pennsylvania in matters involving their utility servic</w:t>
      </w:r>
      <w:r w:rsidR="00167475">
        <w:t>e” and attend the May 22</w:t>
      </w:r>
      <w:r w:rsidR="00167475" w:rsidRPr="00167475">
        <w:rPr>
          <w:vertAlign w:val="superscript"/>
        </w:rPr>
        <w:t>nd</w:t>
      </w:r>
      <w:r w:rsidR="00167475">
        <w:t xml:space="preserve"> PUC hearing to that end.  We will call you </w:t>
      </w:r>
      <w:r w:rsidR="00066C84">
        <w:t>soon</w:t>
      </w:r>
      <w:r w:rsidR="00167475">
        <w:t xml:space="preserve"> to discuss this further.</w:t>
      </w:r>
    </w:p>
    <w:p w14:paraId="4E6E51D1" w14:textId="77777777" w:rsidR="00E13E94" w:rsidRDefault="00E13E94" w:rsidP="009509B9"/>
    <w:p w14:paraId="7C4D7C87" w14:textId="64226A33" w:rsidR="00E13E94" w:rsidRDefault="00E13E94" w:rsidP="009509B9">
      <w:r>
        <w:t>Sincerely,</w:t>
      </w:r>
    </w:p>
    <w:p w14:paraId="1E984D7F" w14:textId="78D4FE4C" w:rsidR="00E13E94" w:rsidRPr="00B06CB4" w:rsidRDefault="00386AD0" w:rsidP="009509B9">
      <w:r>
        <w:rPr>
          <w:i/>
          <w:iCs/>
        </w:rPr>
        <w:t>38</w:t>
      </w:r>
      <w:r w:rsidR="00066C84">
        <w:t xml:space="preserve"> PA utility customers (copied on the attached email message)</w:t>
      </w:r>
      <w:r w:rsidR="00E13E94">
        <w:t xml:space="preserve"> </w:t>
      </w:r>
    </w:p>
    <w:sectPr w:rsidR="00E13E94" w:rsidRPr="00B06CB4" w:rsidSect="00945AA5">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84367" w14:textId="77777777" w:rsidR="00A56957" w:rsidRDefault="00A56957" w:rsidP="007F570C">
      <w:r>
        <w:separator/>
      </w:r>
    </w:p>
  </w:endnote>
  <w:endnote w:type="continuationSeparator" w:id="0">
    <w:p w14:paraId="0FFB7120" w14:textId="77777777" w:rsidR="00A56957" w:rsidRDefault="00A56957" w:rsidP="007F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C1674" w14:textId="77777777" w:rsidR="00A56957" w:rsidRDefault="00A56957" w:rsidP="007F570C">
      <w:r>
        <w:separator/>
      </w:r>
    </w:p>
  </w:footnote>
  <w:footnote w:type="continuationSeparator" w:id="0">
    <w:p w14:paraId="7094C6A0" w14:textId="77777777" w:rsidR="00A56957" w:rsidRDefault="00A56957" w:rsidP="007F570C">
      <w:r>
        <w:continuationSeparator/>
      </w:r>
    </w:p>
  </w:footnote>
  <w:footnote w:id="1">
    <w:p w14:paraId="47476BE5" w14:textId="0439A69D" w:rsidR="007F570C" w:rsidRDefault="007F570C">
      <w:pPr>
        <w:pStyle w:val="FootnoteText"/>
      </w:pPr>
      <w:r>
        <w:rPr>
          <w:rStyle w:val="FootnoteReference"/>
        </w:rPr>
        <w:footnoteRef/>
      </w:r>
      <w:r>
        <w:t xml:space="preserve"> See Footnote 5 at page 7</w:t>
      </w:r>
    </w:p>
  </w:footnote>
  <w:footnote w:id="2">
    <w:p w14:paraId="4E7C539E" w14:textId="458C3CD5" w:rsidR="009D0992" w:rsidRDefault="009D0992">
      <w:pPr>
        <w:pStyle w:val="FootnoteText"/>
      </w:pPr>
      <w:r>
        <w:rPr>
          <w:rStyle w:val="FootnoteReference"/>
        </w:rPr>
        <w:footnoteRef/>
      </w:r>
      <w:r>
        <w:t xml:space="preserve"> PECO’s offer to relocate the smart meter a farther distance from your home is a pure admission of smart meter harm and an entirely </w:t>
      </w:r>
      <w:r w:rsidRPr="009D0992">
        <w:rPr>
          <w:b/>
          <w:bCs/>
        </w:rPr>
        <w:t>un</w:t>
      </w:r>
      <w:r w:rsidRPr="00533D8C">
        <w:t>reasonable</w:t>
      </w:r>
      <w:r>
        <w:t xml:space="preserve"> accommodation, as is their offer for a ‘lower’ radiofrequency-emitting (RF) Aclara meter, which </w:t>
      </w:r>
      <w:r w:rsidR="00533D8C">
        <w:t>RF-measurements indicate</w:t>
      </w:r>
      <w:r>
        <w:t xml:space="preserve"> as potent in emitting total pulsed electromagnetic frequencies.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F7BCD"/>
    <w:multiLevelType w:val="hybridMultilevel"/>
    <w:tmpl w:val="8FC86920"/>
    <w:lvl w:ilvl="0" w:tplc="49CA2574">
      <w:start w:val="1"/>
      <w:numFmt w:val="decimal"/>
      <w:pStyle w:val="ListParagrap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84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B4"/>
    <w:rsid w:val="00066C84"/>
    <w:rsid w:val="000671C5"/>
    <w:rsid w:val="00074588"/>
    <w:rsid w:val="000840CB"/>
    <w:rsid w:val="00096779"/>
    <w:rsid w:val="00110853"/>
    <w:rsid w:val="001668D1"/>
    <w:rsid w:val="00167475"/>
    <w:rsid w:val="001C019F"/>
    <w:rsid w:val="00250050"/>
    <w:rsid w:val="002F71A0"/>
    <w:rsid w:val="00364AEC"/>
    <w:rsid w:val="00386AD0"/>
    <w:rsid w:val="00447DAA"/>
    <w:rsid w:val="00470135"/>
    <w:rsid w:val="00507092"/>
    <w:rsid w:val="00533D8C"/>
    <w:rsid w:val="005E212E"/>
    <w:rsid w:val="005E2D3E"/>
    <w:rsid w:val="006821F9"/>
    <w:rsid w:val="006C2127"/>
    <w:rsid w:val="006F15AE"/>
    <w:rsid w:val="007776D8"/>
    <w:rsid w:val="007F570C"/>
    <w:rsid w:val="00930B31"/>
    <w:rsid w:val="00945AA5"/>
    <w:rsid w:val="009509B9"/>
    <w:rsid w:val="009D0992"/>
    <w:rsid w:val="00A27CBE"/>
    <w:rsid w:val="00A56957"/>
    <w:rsid w:val="00A64FB8"/>
    <w:rsid w:val="00AC1B91"/>
    <w:rsid w:val="00AD35D2"/>
    <w:rsid w:val="00B06CB4"/>
    <w:rsid w:val="00BA1724"/>
    <w:rsid w:val="00C319AE"/>
    <w:rsid w:val="00C91932"/>
    <w:rsid w:val="00CC2C58"/>
    <w:rsid w:val="00CF6EFB"/>
    <w:rsid w:val="00E13E94"/>
    <w:rsid w:val="00E55E47"/>
    <w:rsid w:val="00F0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34AA"/>
  <w15:chartTrackingRefBased/>
  <w15:docId w15:val="{1E3BFB00-FC71-4A06-AD6C-ECBB28F2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qFormat/>
    <w:rsid w:val="007776D8"/>
    <w:pPr>
      <w:keepLines/>
      <w:widowControl w:val="0"/>
    </w:pPr>
    <w:rPr>
      <w:sz w:val="20"/>
      <w:szCs w:val="20"/>
    </w:rPr>
  </w:style>
  <w:style w:type="character" w:customStyle="1" w:styleId="FootnoteTextChar">
    <w:name w:val="Footnote Text Char"/>
    <w:basedOn w:val="DefaultParagraphFont"/>
    <w:link w:val="FootnoteText"/>
    <w:uiPriority w:val="99"/>
    <w:semiHidden/>
    <w:rsid w:val="007776D8"/>
    <w:rPr>
      <w:sz w:val="20"/>
      <w:szCs w:val="20"/>
    </w:rPr>
  </w:style>
  <w:style w:type="paragraph" w:styleId="ListParagraph">
    <w:name w:val="List Paragraph"/>
    <w:basedOn w:val="Normal"/>
    <w:autoRedefine/>
    <w:uiPriority w:val="34"/>
    <w:qFormat/>
    <w:rsid w:val="007776D8"/>
    <w:pPr>
      <w:numPr>
        <w:numId w:val="1"/>
      </w:numPr>
      <w:contextualSpacing/>
      <w:jc w:val="left"/>
    </w:pPr>
  </w:style>
  <w:style w:type="character" w:styleId="Hyperlink">
    <w:name w:val="Hyperlink"/>
    <w:basedOn w:val="DefaultParagraphFont"/>
    <w:uiPriority w:val="99"/>
    <w:unhideWhenUsed/>
    <w:rsid w:val="002F71A0"/>
    <w:rPr>
      <w:color w:val="0563C1" w:themeColor="hyperlink"/>
      <w:u w:val="single"/>
    </w:rPr>
  </w:style>
  <w:style w:type="character" w:styleId="UnresolvedMention">
    <w:name w:val="Unresolved Mention"/>
    <w:basedOn w:val="DefaultParagraphFont"/>
    <w:uiPriority w:val="99"/>
    <w:semiHidden/>
    <w:unhideWhenUsed/>
    <w:rsid w:val="002F71A0"/>
    <w:rPr>
      <w:color w:val="605E5C"/>
      <w:shd w:val="clear" w:color="auto" w:fill="E1DFDD"/>
    </w:rPr>
  </w:style>
  <w:style w:type="character" w:styleId="FootnoteReference">
    <w:name w:val="footnote reference"/>
    <w:basedOn w:val="DefaultParagraphFont"/>
    <w:uiPriority w:val="99"/>
    <w:semiHidden/>
    <w:unhideWhenUsed/>
    <w:rsid w:val="007F570C"/>
    <w:rPr>
      <w:vertAlign w:val="superscript"/>
    </w:rPr>
  </w:style>
  <w:style w:type="paragraph" w:styleId="Header">
    <w:name w:val="header"/>
    <w:basedOn w:val="Normal"/>
    <w:link w:val="HeaderChar"/>
    <w:uiPriority w:val="99"/>
    <w:unhideWhenUsed/>
    <w:rsid w:val="005E212E"/>
    <w:pPr>
      <w:tabs>
        <w:tab w:val="center" w:pos="4680"/>
        <w:tab w:val="right" w:pos="9360"/>
      </w:tabs>
    </w:pPr>
  </w:style>
  <w:style w:type="character" w:customStyle="1" w:styleId="HeaderChar">
    <w:name w:val="Header Char"/>
    <w:basedOn w:val="DefaultParagraphFont"/>
    <w:link w:val="Header"/>
    <w:uiPriority w:val="99"/>
    <w:rsid w:val="005E212E"/>
  </w:style>
  <w:style w:type="paragraph" w:styleId="Footer">
    <w:name w:val="footer"/>
    <w:basedOn w:val="Normal"/>
    <w:link w:val="FooterChar"/>
    <w:uiPriority w:val="99"/>
    <w:unhideWhenUsed/>
    <w:rsid w:val="005E212E"/>
    <w:pPr>
      <w:tabs>
        <w:tab w:val="center" w:pos="4680"/>
        <w:tab w:val="right" w:pos="9360"/>
      </w:tabs>
    </w:pPr>
  </w:style>
  <w:style w:type="character" w:customStyle="1" w:styleId="FooterChar">
    <w:name w:val="Footer Char"/>
    <w:basedOn w:val="DefaultParagraphFont"/>
    <w:link w:val="Footer"/>
    <w:uiPriority w:val="99"/>
    <w:rsid w:val="005E212E"/>
  </w:style>
  <w:style w:type="character" w:styleId="FollowedHyperlink">
    <w:name w:val="FollowedHyperlink"/>
    <w:basedOn w:val="DefaultParagraphFont"/>
    <w:uiPriority w:val="99"/>
    <w:semiHidden/>
    <w:unhideWhenUsed/>
    <w:rsid w:val="00386A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0049">
      <w:bodyDiv w:val="1"/>
      <w:marLeft w:val="0"/>
      <w:marRight w:val="0"/>
      <w:marTop w:val="0"/>
      <w:marBottom w:val="0"/>
      <w:divBdr>
        <w:top w:val="none" w:sz="0" w:space="0" w:color="auto"/>
        <w:left w:val="none" w:sz="0" w:space="0" w:color="auto"/>
        <w:bottom w:val="none" w:sz="0" w:space="0" w:color="auto"/>
        <w:right w:val="none" w:sz="0" w:space="0" w:color="auto"/>
      </w:divBdr>
    </w:div>
    <w:div w:id="152112521">
      <w:bodyDiv w:val="1"/>
      <w:marLeft w:val="0"/>
      <w:marRight w:val="0"/>
      <w:marTop w:val="0"/>
      <w:marBottom w:val="0"/>
      <w:divBdr>
        <w:top w:val="none" w:sz="0" w:space="0" w:color="auto"/>
        <w:left w:val="none" w:sz="0" w:space="0" w:color="auto"/>
        <w:bottom w:val="none" w:sz="0" w:space="0" w:color="auto"/>
        <w:right w:val="none" w:sz="0" w:space="0" w:color="auto"/>
      </w:divBdr>
    </w:div>
    <w:div w:id="350961201">
      <w:bodyDiv w:val="1"/>
      <w:marLeft w:val="0"/>
      <w:marRight w:val="0"/>
      <w:marTop w:val="0"/>
      <w:marBottom w:val="0"/>
      <w:divBdr>
        <w:top w:val="none" w:sz="0" w:space="0" w:color="auto"/>
        <w:left w:val="none" w:sz="0" w:space="0" w:color="auto"/>
        <w:bottom w:val="none" w:sz="0" w:space="0" w:color="auto"/>
        <w:right w:val="none" w:sz="0" w:space="0" w:color="auto"/>
      </w:divBdr>
    </w:div>
    <w:div w:id="395055906">
      <w:bodyDiv w:val="1"/>
      <w:marLeft w:val="0"/>
      <w:marRight w:val="0"/>
      <w:marTop w:val="0"/>
      <w:marBottom w:val="0"/>
      <w:divBdr>
        <w:top w:val="none" w:sz="0" w:space="0" w:color="auto"/>
        <w:left w:val="none" w:sz="0" w:space="0" w:color="auto"/>
        <w:bottom w:val="none" w:sz="0" w:space="0" w:color="auto"/>
        <w:right w:val="none" w:sz="0" w:space="0" w:color="auto"/>
      </w:divBdr>
    </w:div>
    <w:div w:id="488447959">
      <w:bodyDiv w:val="1"/>
      <w:marLeft w:val="0"/>
      <w:marRight w:val="0"/>
      <w:marTop w:val="0"/>
      <w:marBottom w:val="0"/>
      <w:divBdr>
        <w:top w:val="none" w:sz="0" w:space="0" w:color="auto"/>
        <w:left w:val="none" w:sz="0" w:space="0" w:color="auto"/>
        <w:bottom w:val="none" w:sz="0" w:space="0" w:color="auto"/>
        <w:right w:val="none" w:sz="0" w:space="0" w:color="auto"/>
      </w:divBdr>
    </w:div>
    <w:div w:id="490297024">
      <w:bodyDiv w:val="1"/>
      <w:marLeft w:val="0"/>
      <w:marRight w:val="0"/>
      <w:marTop w:val="0"/>
      <w:marBottom w:val="0"/>
      <w:divBdr>
        <w:top w:val="none" w:sz="0" w:space="0" w:color="auto"/>
        <w:left w:val="none" w:sz="0" w:space="0" w:color="auto"/>
        <w:bottom w:val="none" w:sz="0" w:space="0" w:color="auto"/>
        <w:right w:val="none" w:sz="0" w:space="0" w:color="auto"/>
      </w:divBdr>
    </w:div>
    <w:div w:id="867913496">
      <w:bodyDiv w:val="1"/>
      <w:marLeft w:val="0"/>
      <w:marRight w:val="0"/>
      <w:marTop w:val="0"/>
      <w:marBottom w:val="0"/>
      <w:divBdr>
        <w:top w:val="none" w:sz="0" w:space="0" w:color="auto"/>
        <w:left w:val="none" w:sz="0" w:space="0" w:color="auto"/>
        <w:bottom w:val="none" w:sz="0" w:space="0" w:color="auto"/>
        <w:right w:val="none" w:sz="0" w:space="0" w:color="auto"/>
      </w:divBdr>
    </w:div>
    <w:div w:id="15752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pcdocs/1825053.pdf" TargetMode="External"/><Relationship Id="rId13" Type="http://schemas.openxmlformats.org/officeDocument/2006/relationships/hyperlink" Target="https://www.delmarva.com/SmartEnergy/SmartGridAndSmartMeter/Pages/MD/SmartMeterOptOut.aspx" TargetMode="External"/><Relationship Id="rId18" Type="http://schemas.openxmlformats.org/officeDocument/2006/relationships/hyperlink" Target="https://lge-ku.com/meter-upgrade" TargetMode="External"/><Relationship Id="rId3" Type="http://schemas.openxmlformats.org/officeDocument/2006/relationships/styles" Target="styles.xml"/><Relationship Id="rId21" Type="http://schemas.openxmlformats.org/officeDocument/2006/relationships/hyperlink" Target="https://dis.puc.state.oh.us/DocumentRecord.aspx?DocID=8848e7be-4b13-4679-b3a6-d16cee1824fa" TargetMode="External"/><Relationship Id="rId7" Type="http://schemas.openxmlformats.org/officeDocument/2006/relationships/endnotes" Target="endnotes.xml"/><Relationship Id="rId12" Type="http://schemas.openxmlformats.org/officeDocument/2006/relationships/hyperlink" Target="https://www.pepco.com/SmartEnergy/SmartMeterSmartGrid/Pages/MD/SmartMeterOptOut.aspx" TargetMode="External"/><Relationship Id="rId17" Type="http://schemas.openxmlformats.org/officeDocument/2006/relationships/hyperlink" Target="https://lge-ku.com/meter-upgra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ge-ku.com/meter-upgrade" TargetMode="External"/><Relationship Id="rId20" Type="http://schemas.openxmlformats.org/officeDocument/2006/relationships/hyperlink" Target="https://dis.puc.state.oh.us/DocumentRecord.aspx?DocID=8848e7be-4b13-4679-b3a6-d16cee1824f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ge.com/SmartEnergy/SmartMeterSmartGrid/Pages/SmartMeterOptOut.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am\AppData\Roaming\Microsoft\Excel\RI%20Energy_PPL%20Subsidiary%20Opt%20Out.pdf" TargetMode="External"/><Relationship Id="rId23" Type="http://schemas.openxmlformats.org/officeDocument/2006/relationships/hyperlink" Target="https://www.firstenergycorp.com/help/smart-meters/nj-smartmeter/nj-opt-out.html" TargetMode="External"/><Relationship Id="rId10" Type="http://schemas.openxmlformats.org/officeDocument/2006/relationships/hyperlink" Target="https://www.pacourts.us/assets/opinions/SUPREME/out/J-77-A-L-2021mo.pdf" TargetMode="External"/><Relationship Id="rId19" Type="http://schemas.openxmlformats.org/officeDocument/2006/relationships/hyperlink" Target="https://lge-ku.com/meter-upgrade" TargetMode="External"/><Relationship Id="rId4" Type="http://schemas.openxmlformats.org/officeDocument/2006/relationships/settings" Target="settings.xml"/><Relationship Id="rId9" Type="http://schemas.openxmlformats.org/officeDocument/2006/relationships/hyperlink" Target="https://investors.exeloncorp.com/node/33601/html" TargetMode="External"/><Relationship Id="rId14" Type="http://schemas.openxmlformats.org/officeDocument/2006/relationships/hyperlink" Target="https://www.atlanticcityelectric.com/SiteCollectionDocuments/ACE_SEN_FAQs_English_ADA.pdf" TargetMode="External"/><Relationship Id="rId22" Type="http://schemas.openxmlformats.org/officeDocument/2006/relationships/hyperlink" Target="https://dis.puc.state.oh.us/DocumentRecord.aspx?DocID=8848e7be-4b13-4679-b3a6-d16cee1824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4136-DA96-46AF-BBE3-81BD6A4A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17</cp:revision>
  <dcterms:created xsi:type="dcterms:W3CDTF">2024-05-11T15:52:00Z</dcterms:created>
  <dcterms:modified xsi:type="dcterms:W3CDTF">2024-05-14T01:46:00Z</dcterms:modified>
</cp:coreProperties>
</file>